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Новосибирской области от 16.10.2003 N 142-ОЗ</w:t>
              <w:br/>
              <w:t xml:space="preserve">(ред. от 12.03.2024)</w:t>
              <w:br/>
              <w:t xml:space="preserve">"О налогах и особенностях налогообложения отдельных категорий налогоплательщиков в Новосибирской области"</w:t>
              <w:br/>
              <w:t xml:space="preserve">(принят постановлением Новосибирского областного Совета депутатов от 02.10.2003 N 142-ОСД)</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октября 2003 года</w:t>
            </w:r>
          </w:p>
        </w:tc>
        <w:tc>
          <w:tcPr>
            <w:tcW w:w="5103" w:type="dxa"/>
            <w:tcBorders>
              <w:top w:val="nil"/>
              <w:left w:val="nil"/>
              <w:bottom w:val="nil"/>
              <w:right w:val="nil"/>
            </w:tcBorders>
          </w:tcPr>
          <w:p>
            <w:pPr>
              <w:pStyle w:val="0"/>
              <w:outlineLvl w:val="0"/>
              <w:jc w:val="right"/>
            </w:pPr>
            <w:r>
              <w:rPr>
                <w:sz w:val="20"/>
              </w:rPr>
              <w:t xml:space="preserve">N 142-ОЗ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НОВОСИБИРСКАЯ ОБЛАСТЬ</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НАЛОГАХ И ОСОБЕННОСТЯХ НАЛОГООБЛОЖЕНИЯ ОТДЕЛЬНЫХ</w:t>
      </w:r>
    </w:p>
    <w:p>
      <w:pPr>
        <w:pStyle w:val="2"/>
        <w:jc w:val="center"/>
      </w:pPr>
      <w:r>
        <w:rPr>
          <w:sz w:val="20"/>
        </w:rPr>
        <w:t xml:space="preserve">КАТЕГОРИЙ НАЛОГОПЛАТЕЛЬЩИКОВ В НОВОСИБИРСКОЙ ОБЛАСТИ</w:t>
      </w:r>
    </w:p>
    <w:p>
      <w:pPr>
        <w:pStyle w:val="0"/>
      </w:pPr>
      <w:r>
        <w:rPr>
          <w:sz w:val="20"/>
        </w:rPr>
      </w:r>
    </w:p>
    <w:p>
      <w:pPr>
        <w:pStyle w:val="0"/>
        <w:jc w:val="right"/>
      </w:pPr>
      <w:r>
        <w:rPr>
          <w:sz w:val="20"/>
        </w:rPr>
        <w:t xml:space="preserve">Принят</w:t>
      </w:r>
    </w:p>
    <w:p>
      <w:pPr>
        <w:pStyle w:val="0"/>
        <w:jc w:val="right"/>
      </w:pPr>
      <w:r>
        <w:rPr>
          <w:sz w:val="20"/>
        </w:rPr>
        <w:t xml:space="preserve">постановлением Новосибирского областного Совета депутатов</w:t>
      </w:r>
    </w:p>
    <w:p>
      <w:pPr>
        <w:pStyle w:val="0"/>
        <w:jc w:val="right"/>
      </w:pPr>
      <w:r>
        <w:rPr>
          <w:sz w:val="20"/>
        </w:rPr>
        <w:t xml:space="preserve">от 02.10.2003 N 142-ОСД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Новосибирской области</w:t>
            </w:r>
          </w:p>
          <w:p>
            <w:pPr>
              <w:pStyle w:val="0"/>
              <w:jc w:val="center"/>
            </w:pPr>
            <w:r>
              <w:rPr>
                <w:sz w:val="20"/>
                <w:color w:val="392c69"/>
              </w:rPr>
              <w:t xml:space="preserve">от 24.11.2003 </w:t>
            </w:r>
            <w:hyperlink w:history="0" r:id="rId7" w:tooltip="Закон Новосибирской области от 24.11.2003 N 1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13.11.2003 N 159-ОСД) {КонсультантПлюс}">
              <w:r>
                <w:rPr>
                  <w:sz w:val="20"/>
                  <w:color w:val="0000ff"/>
                </w:rPr>
                <w:t xml:space="preserve">N 159-ОЗ</w:t>
              </w:r>
            </w:hyperlink>
            <w:r>
              <w:rPr>
                <w:sz w:val="20"/>
                <w:color w:val="392c69"/>
              </w:rPr>
              <w:t xml:space="preserve">, от 12.04.2004 </w:t>
            </w:r>
            <w:hyperlink w:history="0" r:id="rId8" w:tooltip="Закон Новосибирской области от 12.04.2004 N 17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5.03.2004 N 176-ОСД) {КонсультантПлюс}">
              <w:r>
                <w:rPr>
                  <w:sz w:val="20"/>
                  <w:color w:val="0000ff"/>
                </w:rPr>
                <w:t xml:space="preserve">N 176-ОЗ</w:t>
              </w:r>
            </w:hyperlink>
            <w:r>
              <w:rPr>
                <w:sz w:val="20"/>
                <w:color w:val="392c69"/>
              </w:rPr>
              <w:t xml:space="preserve">, от 15.06.2004 </w:t>
            </w:r>
            <w:hyperlink w:history="0" r:id="rId9" w:tooltip="Закон Новосибирской области от 15.06.2004 N 19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7.05.2004 N 195-ОСД) {КонсультантПлюс}">
              <w:r>
                <w:rPr>
                  <w:sz w:val="20"/>
                  <w:color w:val="0000ff"/>
                </w:rPr>
                <w:t xml:space="preserve">N 195-ОЗ</w:t>
              </w:r>
            </w:hyperlink>
            <w:r>
              <w:rPr>
                <w:sz w:val="20"/>
                <w:color w:val="392c69"/>
              </w:rPr>
              <w:t xml:space="preserve">,</w:t>
            </w:r>
          </w:p>
          <w:p>
            <w:pPr>
              <w:pStyle w:val="0"/>
              <w:jc w:val="center"/>
            </w:pPr>
            <w:r>
              <w:rPr>
                <w:sz w:val="20"/>
                <w:color w:val="392c69"/>
              </w:rPr>
              <w:t xml:space="preserve">от 29.09.2004 </w:t>
            </w:r>
            <w:hyperlink w:history="0" r:id="rId10" w:tooltip="Закон Новосибирской области от 29.09.2004 N 21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3.09.2004 N 219-ОСД) {КонсультантПлюс}">
              <w:r>
                <w:rPr>
                  <w:sz w:val="20"/>
                  <w:color w:val="0000ff"/>
                </w:rPr>
                <w:t xml:space="preserve">N 219-ОЗ</w:t>
              </w:r>
            </w:hyperlink>
            <w:r>
              <w:rPr>
                <w:sz w:val="20"/>
                <w:color w:val="392c69"/>
              </w:rPr>
              <w:t xml:space="preserve">, от 25.11.2004 </w:t>
            </w:r>
            <w:hyperlink w:history="0" r:id="rId11"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N 235-ОЗ</w:t>
              </w:r>
            </w:hyperlink>
            <w:r>
              <w:rPr>
                <w:sz w:val="20"/>
                <w:color w:val="392c69"/>
              </w:rPr>
              <w:t xml:space="preserve">, от 14.03.2005 </w:t>
            </w:r>
            <w:hyperlink w:history="0" r:id="rId12" w:tooltip="Закон Новосибирской области от 14.03.2005 N 27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5.02.2005 N 277-ОСД) {КонсультантПлюс}">
              <w:r>
                <w:rPr>
                  <w:sz w:val="20"/>
                  <w:color w:val="0000ff"/>
                </w:rPr>
                <w:t xml:space="preserve">N 277-ОЗ</w:t>
              </w:r>
            </w:hyperlink>
            <w:r>
              <w:rPr>
                <w:sz w:val="20"/>
                <w:color w:val="392c69"/>
              </w:rPr>
              <w:t xml:space="preserve">,</w:t>
            </w:r>
          </w:p>
          <w:p>
            <w:pPr>
              <w:pStyle w:val="0"/>
              <w:jc w:val="center"/>
            </w:pPr>
            <w:r>
              <w:rPr>
                <w:sz w:val="20"/>
                <w:color w:val="392c69"/>
              </w:rPr>
              <w:t xml:space="preserve">от 14.05.2005 </w:t>
            </w:r>
            <w:hyperlink w:history="0" r:id="rId13" w:tooltip="Закон Новосибирской области от 14.05.2005 N 29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4.2005 N 293-ОСД) {КонсультантПлюс}">
              <w:r>
                <w:rPr>
                  <w:sz w:val="20"/>
                  <w:color w:val="0000ff"/>
                </w:rPr>
                <w:t xml:space="preserve">N 293-ОЗ</w:t>
              </w:r>
            </w:hyperlink>
            <w:r>
              <w:rPr>
                <w:sz w:val="20"/>
                <w:color w:val="392c69"/>
              </w:rPr>
              <w:t xml:space="preserve">, от 04.11.2005 </w:t>
            </w:r>
            <w:hyperlink w:history="0" r:id="rId14" w:tooltip="Закон Новосибирской области от 04.11.2005 N 33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7.10.2005 N 333-ОСД) {КонсультантПлюс}">
              <w:r>
                <w:rPr>
                  <w:sz w:val="20"/>
                  <w:color w:val="0000ff"/>
                </w:rPr>
                <w:t xml:space="preserve">N 333-ОЗ</w:t>
              </w:r>
            </w:hyperlink>
            <w:r>
              <w:rPr>
                <w:sz w:val="20"/>
                <w:color w:val="392c69"/>
              </w:rPr>
              <w:t xml:space="preserve">, от 19.10.2006 </w:t>
            </w:r>
            <w:hyperlink w:history="0" r:id="rId15"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color w:val="392c69"/>
              </w:rPr>
              <w:t xml:space="preserve">,</w:t>
            </w:r>
          </w:p>
          <w:p>
            <w:pPr>
              <w:pStyle w:val="0"/>
              <w:jc w:val="center"/>
            </w:pPr>
            <w:r>
              <w:rPr>
                <w:sz w:val="20"/>
                <w:color w:val="392c69"/>
              </w:rPr>
              <w:t xml:space="preserve">от 07.06.2007 </w:t>
            </w:r>
            <w:hyperlink w:history="0" r:id="rId16" w:tooltip="Закон Новосибирской области от 07.06.2007 N 1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05.2007 N 108-ОСД) {КонсультантПлюс}">
              <w:r>
                <w:rPr>
                  <w:sz w:val="20"/>
                  <w:color w:val="0000ff"/>
                </w:rPr>
                <w:t xml:space="preserve">N 108-ОЗ</w:t>
              </w:r>
            </w:hyperlink>
            <w:r>
              <w:rPr>
                <w:sz w:val="20"/>
                <w:color w:val="392c69"/>
              </w:rPr>
              <w:t xml:space="preserve">, от 15.10.2007 </w:t>
            </w:r>
            <w:hyperlink w:history="0" r:id="rId17" w:tooltip="Закон Новосибирской области от 15.10.2007 N 147-ОЗ &quot;О внесении изменений в статьи 6.1, 6.5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7.09.2007 N 147-ОСД) {КонсультантПлюс}">
              <w:r>
                <w:rPr>
                  <w:sz w:val="20"/>
                  <w:color w:val="0000ff"/>
                </w:rPr>
                <w:t xml:space="preserve">N 147-ОЗ</w:t>
              </w:r>
            </w:hyperlink>
            <w:r>
              <w:rPr>
                <w:sz w:val="20"/>
                <w:color w:val="392c69"/>
              </w:rPr>
              <w:t xml:space="preserve">, от 02.11.2007 </w:t>
            </w:r>
            <w:hyperlink w:history="0" r:id="rId18" w:tooltip="Закон Новосибирской области от 02.11.2007 N 16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0-ОСД) {КонсультантПлюс}">
              <w:r>
                <w:rPr>
                  <w:sz w:val="20"/>
                  <w:color w:val="0000ff"/>
                </w:rPr>
                <w:t xml:space="preserve">N 160-ОЗ</w:t>
              </w:r>
            </w:hyperlink>
            <w:r>
              <w:rPr>
                <w:sz w:val="20"/>
                <w:color w:val="392c69"/>
              </w:rPr>
              <w:t xml:space="preserve">,</w:t>
            </w:r>
          </w:p>
          <w:p>
            <w:pPr>
              <w:pStyle w:val="0"/>
              <w:jc w:val="center"/>
            </w:pPr>
            <w:r>
              <w:rPr>
                <w:sz w:val="20"/>
                <w:color w:val="392c69"/>
              </w:rPr>
              <w:t xml:space="preserve">от 02.11.2007 </w:t>
            </w:r>
            <w:hyperlink w:history="0" r:id="rId19" w:tooltip="Закон Новосибирской области от 02.11.2007 N 16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1-ОСД) {КонсультантПлюс}">
              <w:r>
                <w:rPr>
                  <w:sz w:val="20"/>
                  <w:color w:val="0000ff"/>
                </w:rPr>
                <w:t xml:space="preserve">N 161-ОЗ</w:t>
              </w:r>
            </w:hyperlink>
            <w:r>
              <w:rPr>
                <w:sz w:val="20"/>
                <w:color w:val="392c69"/>
              </w:rPr>
              <w:t xml:space="preserve">, от 02.11.2007 </w:t>
            </w:r>
            <w:hyperlink w:history="0" r:id="rId20" w:tooltip="Закон Новосибирской области от 02.11.2007 N 163-ОЗ &quot;О внесении изменения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3-ОСД) {КонсультантПлюс}">
              <w:r>
                <w:rPr>
                  <w:sz w:val="20"/>
                  <w:color w:val="0000ff"/>
                </w:rPr>
                <w:t xml:space="preserve">N 163-ОЗ</w:t>
              </w:r>
            </w:hyperlink>
            <w:r>
              <w:rPr>
                <w:sz w:val="20"/>
                <w:color w:val="392c69"/>
              </w:rPr>
              <w:t xml:space="preserve">, от 13.10.2008 </w:t>
            </w:r>
            <w:hyperlink w:history="0" r:id="rId21" w:tooltip="Закон Новосибирской области от 13.10.2008 N 270-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02.10.2008 N 270-ОСД) ------------ Утратил силу или отменен {КонсультантПлюс}">
              <w:r>
                <w:rPr>
                  <w:sz w:val="20"/>
                  <w:color w:val="0000ff"/>
                </w:rPr>
                <w:t xml:space="preserve">N 270-ОЗ</w:t>
              </w:r>
            </w:hyperlink>
            <w:r>
              <w:rPr>
                <w:sz w:val="20"/>
                <w:color w:val="392c69"/>
              </w:rPr>
              <w:t xml:space="preserve">,</w:t>
            </w:r>
          </w:p>
          <w:p>
            <w:pPr>
              <w:pStyle w:val="0"/>
              <w:jc w:val="center"/>
            </w:pPr>
            <w:r>
              <w:rPr>
                <w:sz w:val="20"/>
                <w:color w:val="392c69"/>
              </w:rPr>
              <w:t xml:space="preserve">от 05.11.2008 </w:t>
            </w:r>
            <w:hyperlink w:history="0" r:id="rId22" w:tooltip="Закон Новосибирской области от 05.11.2008 N 280-ОЗ &quot;О внесении изменения в статью 7.6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30.10.2008 N 280-ОСД) {КонсультантПлюс}">
              <w:r>
                <w:rPr>
                  <w:sz w:val="20"/>
                  <w:color w:val="0000ff"/>
                </w:rPr>
                <w:t xml:space="preserve">N 280-ОЗ</w:t>
              </w:r>
            </w:hyperlink>
            <w:r>
              <w:rPr>
                <w:sz w:val="20"/>
                <w:color w:val="392c69"/>
              </w:rPr>
              <w:t xml:space="preserve">, от 05.11.2008 </w:t>
            </w:r>
            <w:hyperlink w:history="0" r:id="rId23" w:tooltip="Закон Новосибирской области от 05.11.2008 N 28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30.10.2008 N 281-ОСД) {КонсультантПлюс}">
              <w:r>
                <w:rPr>
                  <w:sz w:val="20"/>
                  <w:color w:val="0000ff"/>
                </w:rPr>
                <w:t xml:space="preserve">N 281-ОЗ</w:t>
              </w:r>
            </w:hyperlink>
            <w:r>
              <w:rPr>
                <w:sz w:val="20"/>
                <w:color w:val="392c69"/>
              </w:rPr>
              <w:t xml:space="preserve">, от 02.07.2009 </w:t>
            </w:r>
            <w:hyperlink w:history="0" r:id="rId24" w:tooltip="Закон Новосибирской области от 02.07.2009 N 370-ОЗ &quot;О внесении изменения в статью 7.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5.06.2009 N 370-ОСД) {КонсультантПлюс}">
              <w:r>
                <w:rPr>
                  <w:sz w:val="20"/>
                  <w:color w:val="0000ff"/>
                </w:rPr>
                <w:t xml:space="preserve">N 370-ОЗ</w:t>
              </w:r>
            </w:hyperlink>
            <w:r>
              <w:rPr>
                <w:sz w:val="20"/>
                <w:color w:val="392c69"/>
              </w:rPr>
              <w:t xml:space="preserve">,</w:t>
            </w:r>
          </w:p>
          <w:p>
            <w:pPr>
              <w:pStyle w:val="0"/>
              <w:jc w:val="center"/>
            </w:pPr>
            <w:r>
              <w:rPr>
                <w:sz w:val="20"/>
                <w:color w:val="392c69"/>
              </w:rPr>
              <w:t xml:space="preserve">от 26.11.2009 </w:t>
            </w:r>
            <w:hyperlink w:history="0" r:id="rId25" w:tooltip="Закон Новосибирской области от 26.11.2009 N 423-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1.2009 N 423-ОСД) {КонсультантПлюс}">
              <w:r>
                <w:rPr>
                  <w:sz w:val="20"/>
                  <w:color w:val="0000ff"/>
                </w:rPr>
                <w:t xml:space="preserve">N 423-ОЗ</w:t>
              </w:r>
            </w:hyperlink>
            <w:r>
              <w:rPr>
                <w:sz w:val="20"/>
                <w:color w:val="392c69"/>
              </w:rPr>
              <w:t xml:space="preserve">, от 30.11.2009 </w:t>
            </w:r>
            <w:hyperlink w:history="0" r:id="rId26" w:tooltip="Закон Новосибирской области от 30.11.2009 N 403-ОЗ &quot;О внесении изменений в статью 3.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1.2009 N 403-ОСД) {КонсультантПлюс}">
              <w:r>
                <w:rPr>
                  <w:sz w:val="20"/>
                  <w:color w:val="0000ff"/>
                </w:rPr>
                <w:t xml:space="preserve">N 403-ОЗ</w:t>
              </w:r>
            </w:hyperlink>
            <w:r>
              <w:rPr>
                <w:sz w:val="20"/>
                <w:color w:val="392c69"/>
              </w:rPr>
              <w:t xml:space="preserve">, от 13.11.2010 </w:t>
            </w:r>
            <w:hyperlink w:history="0" r:id="rId27"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N 2-ОЗ</w:t>
              </w:r>
            </w:hyperlink>
            <w:r>
              <w:rPr>
                <w:sz w:val="20"/>
                <w:color w:val="392c69"/>
              </w:rPr>
              <w:t xml:space="preserve">,</w:t>
            </w:r>
          </w:p>
          <w:p>
            <w:pPr>
              <w:pStyle w:val="0"/>
              <w:jc w:val="center"/>
            </w:pPr>
            <w:r>
              <w:rPr>
                <w:sz w:val="20"/>
                <w:color w:val="392c69"/>
              </w:rPr>
              <w:t xml:space="preserve">от 13.11.2010 </w:t>
            </w:r>
            <w:hyperlink w:history="0" r:id="rId28" w:tooltip="Закон Новосибирской области от 13.11.2010 N 3-ОЗ &quot;О внесении изменений в статьи 7.2 и 7.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3-ЗС) {КонсультантПлюс}">
              <w:r>
                <w:rPr>
                  <w:sz w:val="20"/>
                  <w:color w:val="0000ff"/>
                </w:rPr>
                <w:t xml:space="preserve">N 3-ОЗ</w:t>
              </w:r>
            </w:hyperlink>
            <w:r>
              <w:rPr>
                <w:sz w:val="20"/>
                <w:color w:val="392c69"/>
              </w:rPr>
              <w:t xml:space="preserve">, от 07.10.2011 </w:t>
            </w:r>
            <w:hyperlink w:history="0" r:id="rId29" w:tooltip="Закон Новосибирской области от 07.10.2011 N 12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9.2011 N 122-ЗС) {КонсультантПлюс}">
              <w:r>
                <w:rPr>
                  <w:sz w:val="20"/>
                  <w:color w:val="0000ff"/>
                </w:rPr>
                <w:t xml:space="preserve">N 122-ОЗ</w:t>
              </w:r>
            </w:hyperlink>
            <w:r>
              <w:rPr>
                <w:sz w:val="20"/>
                <w:color w:val="392c69"/>
              </w:rPr>
              <w:t xml:space="preserve">, от 03.05.2012 </w:t>
            </w:r>
            <w:hyperlink w:history="0" r:id="rId30"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color w:val="392c69"/>
              </w:rPr>
              <w:t xml:space="preserve">,</w:t>
            </w:r>
          </w:p>
          <w:p>
            <w:pPr>
              <w:pStyle w:val="0"/>
              <w:jc w:val="center"/>
            </w:pPr>
            <w:r>
              <w:rPr>
                <w:sz w:val="20"/>
                <w:color w:val="392c69"/>
              </w:rPr>
              <w:t xml:space="preserve">от 04.07.2012 </w:t>
            </w:r>
            <w:hyperlink w:history="0" r:id="rId31" w:tooltip="Закон Новосибирской области от 04.07.2012 N 240-ОЗ &quot;О внесении изменений в статьи 2.1 и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6.2012 N 240-ЗС) {КонсультантПлюс}">
              <w:r>
                <w:rPr>
                  <w:sz w:val="20"/>
                  <w:color w:val="0000ff"/>
                </w:rPr>
                <w:t xml:space="preserve">N 240-ОЗ</w:t>
              </w:r>
            </w:hyperlink>
            <w:r>
              <w:rPr>
                <w:sz w:val="20"/>
                <w:color w:val="392c69"/>
              </w:rPr>
              <w:t xml:space="preserve">, от 29.11.2012 </w:t>
            </w:r>
            <w:hyperlink w:history="0" r:id="rId32" w:tooltip="Закон Новосибирской области от 29.11.2012 N 27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11.2012 N 277-ЗС) {КонсультантПлюс}">
              <w:r>
                <w:rPr>
                  <w:sz w:val="20"/>
                  <w:color w:val="0000ff"/>
                </w:rPr>
                <w:t xml:space="preserve">N 277-ОЗ</w:t>
              </w:r>
            </w:hyperlink>
            <w:r>
              <w:rPr>
                <w:sz w:val="20"/>
                <w:color w:val="392c69"/>
              </w:rPr>
              <w:t xml:space="preserve">, от 29.11.2012 </w:t>
            </w:r>
            <w:hyperlink w:history="0" r:id="rId33" w:tooltip="Закон Новосибирской области от 29.11.2012 N 281-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11.2012 N 281-ЗС) {КонсультантПлюс}">
              <w:r>
                <w:rPr>
                  <w:sz w:val="20"/>
                  <w:color w:val="0000ff"/>
                </w:rPr>
                <w:t xml:space="preserve">N 281-ОЗ</w:t>
              </w:r>
            </w:hyperlink>
            <w:r>
              <w:rPr>
                <w:sz w:val="20"/>
                <w:color w:val="392c69"/>
              </w:rPr>
              <w:t xml:space="preserve">,</w:t>
            </w:r>
          </w:p>
          <w:p>
            <w:pPr>
              <w:pStyle w:val="0"/>
              <w:jc w:val="center"/>
            </w:pPr>
            <w:r>
              <w:rPr>
                <w:sz w:val="20"/>
                <w:color w:val="392c69"/>
              </w:rPr>
              <w:t xml:space="preserve">от 05.03.2013 </w:t>
            </w:r>
            <w:hyperlink w:history="0" r:id="rId34"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color w:val="392c69"/>
              </w:rPr>
              <w:t xml:space="preserve">, от 08.04.2013 </w:t>
            </w:r>
            <w:hyperlink w:history="0" r:id="rId35" w:tooltip="Закон Новосибирской области от 08.04.2013 N 318-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3.2013 N 318-ЗС) {КонсультантПлюс}">
              <w:r>
                <w:rPr>
                  <w:sz w:val="20"/>
                  <w:color w:val="0000ff"/>
                </w:rPr>
                <w:t xml:space="preserve">N 318-ОЗ</w:t>
              </w:r>
            </w:hyperlink>
            <w:r>
              <w:rPr>
                <w:sz w:val="20"/>
                <w:color w:val="392c69"/>
              </w:rPr>
              <w:t xml:space="preserve">, от 01.10.2013 </w:t>
            </w:r>
            <w:hyperlink w:history="0" r:id="rId36" w:tooltip="Закон Новосибирской области от 01.10.2013 N 36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об установлении дополнительного основания признания безнадежными к взысканию с физических лиц недоимки, задолженности по пеням по транспортному налогу&quot; (принят постановлением Законодательного Собрания Новосибирской области от 26.09.2013 N 363-ЗС) {КонсультантПлюс}">
              <w:r>
                <w:rPr>
                  <w:sz w:val="20"/>
                  <w:color w:val="0000ff"/>
                </w:rPr>
                <w:t xml:space="preserve">N 363-ОЗ</w:t>
              </w:r>
            </w:hyperlink>
            <w:r>
              <w:rPr>
                <w:sz w:val="20"/>
                <w:color w:val="392c69"/>
              </w:rPr>
              <w:t xml:space="preserve">,</w:t>
            </w:r>
          </w:p>
          <w:p>
            <w:pPr>
              <w:pStyle w:val="0"/>
              <w:jc w:val="center"/>
            </w:pPr>
            <w:r>
              <w:rPr>
                <w:sz w:val="20"/>
                <w:color w:val="392c69"/>
              </w:rPr>
              <w:t xml:space="preserve">от 28.11.2013 </w:t>
            </w:r>
            <w:hyperlink w:history="0" r:id="rId37" w:tooltip="Закон Новосибирской области от 28.11.2013 N 388-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1.2013 N 388-ЗС) {КонсультантПлюс}">
              <w:r>
                <w:rPr>
                  <w:sz w:val="20"/>
                  <w:color w:val="0000ff"/>
                </w:rPr>
                <w:t xml:space="preserve">N 388-ОЗ</w:t>
              </w:r>
            </w:hyperlink>
            <w:r>
              <w:rPr>
                <w:sz w:val="20"/>
                <w:color w:val="392c69"/>
              </w:rPr>
              <w:t xml:space="preserve">, от 28.11.2013 </w:t>
            </w:r>
            <w:hyperlink w:history="0" r:id="rId38" w:tooltip="Закон Новосибирской области от 28.11.2013 N 399-ОЗ &quot;О внесении изменения в статью 4.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1.2013 N 399-ЗС) {КонсультантПлюс}">
              <w:r>
                <w:rPr>
                  <w:sz w:val="20"/>
                  <w:color w:val="0000ff"/>
                </w:rPr>
                <w:t xml:space="preserve">N 399-ОЗ</w:t>
              </w:r>
            </w:hyperlink>
            <w:r>
              <w:rPr>
                <w:sz w:val="20"/>
                <w:color w:val="392c69"/>
              </w:rPr>
              <w:t xml:space="preserve">, от 31.10.2014 </w:t>
            </w:r>
            <w:hyperlink w:history="0" r:id="rId39"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N 475-ОЗ</w:t>
              </w:r>
            </w:hyperlink>
            <w:r>
              <w:rPr>
                <w:sz w:val="20"/>
                <w:color w:val="392c69"/>
              </w:rPr>
              <w:t xml:space="preserve">,</w:t>
            </w:r>
          </w:p>
          <w:p>
            <w:pPr>
              <w:pStyle w:val="0"/>
              <w:jc w:val="center"/>
            </w:pPr>
            <w:r>
              <w:rPr>
                <w:sz w:val="20"/>
                <w:color w:val="392c69"/>
              </w:rPr>
              <w:t xml:space="preserve">от 24.11.2014 </w:t>
            </w:r>
            <w:hyperlink w:history="0" r:id="rId40" w:tooltip="Закон Новосибирской области от 24.11.2014 N 48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4 N 482-ЗС) {КонсультантПлюс}">
              <w:r>
                <w:rPr>
                  <w:sz w:val="20"/>
                  <w:color w:val="0000ff"/>
                </w:rPr>
                <w:t xml:space="preserve">N 482-ОЗ</w:t>
              </w:r>
            </w:hyperlink>
            <w:r>
              <w:rPr>
                <w:sz w:val="20"/>
                <w:color w:val="392c69"/>
              </w:rPr>
              <w:t xml:space="preserve">, от 30.06.2015 </w:t>
            </w:r>
            <w:hyperlink w:history="0" r:id="rId41"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N 572-ОЗ</w:t>
              </w:r>
            </w:hyperlink>
            <w:r>
              <w:rPr>
                <w:sz w:val="20"/>
                <w:color w:val="392c69"/>
              </w:rPr>
              <w:t xml:space="preserve">, от 01.07.2015 </w:t>
            </w:r>
            <w:hyperlink w:history="0" r:id="rId42" w:tooltip="Закон Новосибирской области от 01.07.2015 N 562-ОЗ &quot;О внесении изменения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62-ЗС) {КонсультантПлюс}">
              <w:r>
                <w:rPr>
                  <w:sz w:val="20"/>
                  <w:color w:val="0000ff"/>
                </w:rPr>
                <w:t xml:space="preserve">N 562-ОЗ</w:t>
              </w:r>
            </w:hyperlink>
            <w:r>
              <w:rPr>
                <w:sz w:val="20"/>
                <w:color w:val="392c69"/>
              </w:rPr>
              <w:t xml:space="preserve">,</w:t>
            </w:r>
          </w:p>
          <w:p>
            <w:pPr>
              <w:pStyle w:val="0"/>
              <w:jc w:val="center"/>
            </w:pPr>
            <w:r>
              <w:rPr>
                <w:sz w:val="20"/>
                <w:color w:val="392c69"/>
              </w:rPr>
              <w:t xml:space="preserve">от 01.07.2015 </w:t>
            </w:r>
            <w:hyperlink w:history="0" r:id="rId43" w:tooltip="Закон Новосибирской области от 01.07.2015 N 57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3-ЗС) {КонсультантПлюс}">
              <w:r>
                <w:rPr>
                  <w:sz w:val="20"/>
                  <w:color w:val="0000ff"/>
                </w:rPr>
                <w:t xml:space="preserve">N 573-ОЗ</w:t>
              </w:r>
            </w:hyperlink>
            <w:r>
              <w:rPr>
                <w:sz w:val="20"/>
                <w:color w:val="392c69"/>
              </w:rPr>
              <w:t xml:space="preserve">, от 23.11.2015 </w:t>
            </w:r>
            <w:hyperlink w:history="0" r:id="rId44" w:tooltip="Закон Новосибирской области от 23.11.2015 N 10-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5 N 10-ЗС) {КонсультантПлюс}">
              <w:r>
                <w:rPr>
                  <w:sz w:val="20"/>
                  <w:color w:val="0000ff"/>
                </w:rPr>
                <w:t xml:space="preserve">N 10-ОЗ</w:t>
              </w:r>
            </w:hyperlink>
            <w:r>
              <w:rPr>
                <w:sz w:val="20"/>
                <w:color w:val="392c69"/>
              </w:rPr>
              <w:t xml:space="preserve">, от 18.12.2015 </w:t>
            </w:r>
            <w:hyperlink w:history="0" r:id="rId45" w:tooltip="Закон Новосибирской области от 18.12.2015 N 30-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7.12.2015 N 30-ЗС) {КонсультантПлюс}">
              <w:r>
                <w:rPr>
                  <w:sz w:val="20"/>
                  <w:color w:val="0000ff"/>
                </w:rPr>
                <w:t xml:space="preserve">N 30-ОЗ</w:t>
              </w:r>
            </w:hyperlink>
            <w:r>
              <w:rPr>
                <w:sz w:val="20"/>
                <w:color w:val="392c69"/>
              </w:rPr>
              <w:t xml:space="preserve">,</w:t>
            </w:r>
          </w:p>
          <w:p>
            <w:pPr>
              <w:pStyle w:val="0"/>
              <w:jc w:val="center"/>
            </w:pPr>
            <w:r>
              <w:rPr>
                <w:sz w:val="20"/>
                <w:color w:val="392c69"/>
              </w:rPr>
              <w:t xml:space="preserve">от 02.03.2016 </w:t>
            </w:r>
            <w:hyperlink w:history="0" r:id="rId46" w:tooltip="Закон Новосибирской области от 02.03.2016 N 3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политике Новосибирской области в сфере развития инновационной системы&quot; (принят постановлением Законодательного Собрания Новосибирской области от 26.02.2016 N 39-ЗС) {КонсультантПлюс}">
              <w:r>
                <w:rPr>
                  <w:sz w:val="20"/>
                  <w:color w:val="0000ff"/>
                </w:rPr>
                <w:t xml:space="preserve">N 39-ОЗ</w:t>
              </w:r>
            </w:hyperlink>
            <w:r>
              <w:rPr>
                <w:sz w:val="20"/>
                <w:color w:val="392c69"/>
              </w:rPr>
              <w:t xml:space="preserve">, от 31.05.2016 </w:t>
            </w:r>
            <w:hyperlink w:history="0" r:id="rId47" w:tooltip="Закон Новосибирской области от 31.05.2016 N 6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5.2016 N 67-ЗС) {КонсультантПлюс}">
              <w:r>
                <w:rPr>
                  <w:sz w:val="20"/>
                  <w:color w:val="0000ff"/>
                </w:rPr>
                <w:t xml:space="preserve">N 67-ОЗ</w:t>
              </w:r>
            </w:hyperlink>
            <w:r>
              <w:rPr>
                <w:sz w:val="20"/>
                <w:color w:val="392c69"/>
              </w:rPr>
              <w:t xml:space="preserve">, от 29.06.2016 </w:t>
            </w:r>
            <w:hyperlink w:history="0" r:id="rId48" w:tooltip="Закон Новосибирской области от 29.06.2016 N 7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6.2016 N 77-ЗС) {КонсультантПлюс}">
              <w:r>
                <w:rPr>
                  <w:sz w:val="20"/>
                  <w:color w:val="0000ff"/>
                </w:rPr>
                <w:t xml:space="preserve">N 77-ОЗ</w:t>
              </w:r>
            </w:hyperlink>
            <w:r>
              <w:rPr>
                <w:sz w:val="20"/>
                <w:color w:val="392c69"/>
              </w:rPr>
              <w:t xml:space="preserve">,</w:t>
            </w:r>
          </w:p>
          <w:p>
            <w:pPr>
              <w:pStyle w:val="0"/>
              <w:jc w:val="center"/>
            </w:pPr>
            <w:r>
              <w:rPr>
                <w:sz w:val="20"/>
                <w:color w:val="392c69"/>
              </w:rPr>
              <w:t xml:space="preserve">от 01.12.2016 </w:t>
            </w:r>
            <w:hyperlink w:history="0" r:id="rId49"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N 100-ОЗ</w:t>
              </w:r>
            </w:hyperlink>
            <w:r>
              <w:rPr>
                <w:sz w:val="20"/>
                <w:color w:val="392c69"/>
              </w:rPr>
              <w:t xml:space="preserve">, от 19.12.2016 </w:t>
            </w:r>
            <w:hyperlink w:history="0" r:id="rId50" w:tooltip="Закон Новосибирской области от 19.12.2016 N 12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5.12.2016 N 124-ЗС) {КонсультантПлюс}">
              <w:r>
                <w:rPr>
                  <w:sz w:val="20"/>
                  <w:color w:val="0000ff"/>
                </w:rPr>
                <w:t xml:space="preserve">N 124-ОЗ</w:t>
              </w:r>
            </w:hyperlink>
            <w:r>
              <w:rPr>
                <w:sz w:val="20"/>
                <w:color w:val="392c69"/>
              </w:rPr>
              <w:t xml:space="preserve">, от 29.05.2017 </w:t>
            </w:r>
            <w:hyperlink w:history="0" r:id="rId51"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N 166-ОЗ</w:t>
              </w:r>
            </w:hyperlink>
            <w:r>
              <w:rPr>
                <w:sz w:val="20"/>
                <w:color w:val="392c69"/>
              </w:rPr>
              <w:t xml:space="preserve">,</w:t>
            </w:r>
          </w:p>
          <w:p>
            <w:pPr>
              <w:pStyle w:val="0"/>
              <w:jc w:val="center"/>
            </w:pPr>
            <w:r>
              <w:rPr>
                <w:sz w:val="20"/>
                <w:color w:val="392c69"/>
              </w:rPr>
              <w:t xml:space="preserve">от 30.11.2017 </w:t>
            </w:r>
            <w:hyperlink w:history="0" r:id="rId52"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N 233-ОЗ</w:t>
              </w:r>
            </w:hyperlink>
            <w:r>
              <w:rPr>
                <w:sz w:val="20"/>
                <w:color w:val="392c69"/>
              </w:rPr>
              <w:t xml:space="preserve">, от 06.07.2018 </w:t>
            </w:r>
            <w:hyperlink w:history="0" r:id="rId53" w:tooltip="Закон Новосибирской области от 06.07.2018 N 27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6.2018 N 270-ЗС) {КонсультантПлюс}">
              <w:r>
                <w:rPr>
                  <w:sz w:val="20"/>
                  <w:color w:val="0000ff"/>
                </w:rPr>
                <w:t xml:space="preserve">N 270-ОЗ</w:t>
              </w:r>
            </w:hyperlink>
            <w:r>
              <w:rPr>
                <w:sz w:val="20"/>
                <w:color w:val="392c69"/>
              </w:rPr>
              <w:t xml:space="preserve">, от 02.10.2018 </w:t>
            </w:r>
            <w:hyperlink w:history="0" r:id="rId54" w:tooltip="Закон Новосибирской области от 02.10.2018 N 289-ОЗ (ред. от 01.07.2019) &quot;О внесении изменений в отдельные законы Новосибирской области&quot; (принят постановлением Законодательного Собрания Новосибирской области от 27.09.2018 N 289-ЗС) {КонсультантПлюс}">
              <w:r>
                <w:rPr>
                  <w:sz w:val="20"/>
                  <w:color w:val="0000ff"/>
                </w:rPr>
                <w:t xml:space="preserve">N 289-ОЗ</w:t>
              </w:r>
            </w:hyperlink>
            <w:r>
              <w:rPr>
                <w:sz w:val="20"/>
                <w:color w:val="392c69"/>
              </w:rPr>
              <w:t xml:space="preserve">,</w:t>
            </w:r>
          </w:p>
          <w:p>
            <w:pPr>
              <w:pStyle w:val="0"/>
              <w:jc w:val="center"/>
            </w:pPr>
            <w:r>
              <w:rPr>
                <w:sz w:val="20"/>
                <w:color w:val="392c69"/>
              </w:rPr>
              <w:t xml:space="preserve">от 02.11.2018 </w:t>
            </w:r>
            <w:hyperlink w:history="0" r:id="rId55"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N 296-ОЗ</w:t>
              </w:r>
            </w:hyperlink>
            <w:r>
              <w:rPr>
                <w:sz w:val="20"/>
                <w:color w:val="392c69"/>
              </w:rPr>
              <w:t xml:space="preserve">, от 30.11.2018 </w:t>
            </w:r>
            <w:hyperlink w:history="0" r:id="rId56"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N 305-ОЗ</w:t>
              </w:r>
            </w:hyperlink>
            <w:r>
              <w:rPr>
                <w:sz w:val="20"/>
                <w:color w:val="392c69"/>
              </w:rPr>
              <w:t xml:space="preserve">, от 25.12.2018 </w:t>
            </w:r>
            <w:hyperlink w:history="0" r:id="rId57" w:tooltip="Закон Новосибирской области от 25.12.2018 N 333-ОЗ &quot;О внесении изменений в статьи 2.1 и 2.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18 N 333-ЗС) {КонсультантПлюс}">
              <w:r>
                <w:rPr>
                  <w:sz w:val="20"/>
                  <w:color w:val="0000ff"/>
                </w:rPr>
                <w:t xml:space="preserve">N 333-ОЗ</w:t>
              </w:r>
            </w:hyperlink>
            <w:r>
              <w:rPr>
                <w:sz w:val="20"/>
                <w:color w:val="392c69"/>
              </w:rPr>
              <w:t xml:space="preserve">,</w:t>
            </w:r>
          </w:p>
          <w:p>
            <w:pPr>
              <w:pStyle w:val="0"/>
              <w:jc w:val="center"/>
            </w:pPr>
            <w:r>
              <w:rPr>
                <w:sz w:val="20"/>
                <w:color w:val="392c69"/>
              </w:rPr>
              <w:t xml:space="preserve">от 04.06.2019 </w:t>
            </w:r>
            <w:hyperlink w:history="0" r:id="rId58" w:tooltip="Закон Новосибирской области от 04.06.2019 N 369-ОЗ (ред. от 09.10.2019) &quot;О внесении изменений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5.2019 N 369-ЗС) {КонсультантПлюс}">
              <w:r>
                <w:rPr>
                  <w:sz w:val="20"/>
                  <w:color w:val="0000ff"/>
                </w:rPr>
                <w:t xml:space="preserve">N 369-ОЗ</w:t>
              </w:r>
            </w:hyperlink>
            <w:r>
              <w:rPr>
                <w:sz w:val="20"/>
                <w:color w:val="392c69"/>
              </w:rPr>
              <w:t xml:space="preserve">, от 01.07.2019 </w:t>
            </w:r>
            <w:hyperlink w:history="0" r:id="rId59" w:tooltip="Закон Новосибирской области от 01.07.2019 N 39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9 N 390-ЗС) {КонсультантПлюс}">
              <w:r>
                <w:rPr>
                  <w:sz w:val="20"/>
                  <w:color w:val="0000ff"/>
                </w:rPr>
                <w:t xml:space="preserve">N 390-ОЗ</w:t>
              </w:r>
            </w:hyperlink>
            <w:r>
              <w:rPr>
                <w:sz w:val="20"/>
                <w:color w:val="392c69"/>
              </w:rPr>
              <w:t xml:space="preserve">, от 09.10.2019 </w:t>
            </w:r>
            <w:hyperlink w:history="0" r:id="rId60" w:tooltip="Закон Новосибирской области от 09.10.2019 N 40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3.10.2019 N 403-ЗС) {КонсультантПлюс}">
              <w:r>
                <w:rPr>
                  <w:sz w:val="20"/>
                  <w:color w:val="0000ff"/>
                </w:rPr>
                <w:t xml:space="preserve">N 403-ОЗ</w:t>
              </w:r>
            </w:hyperlink>
            <w:r>
              <w:rPr>
                <w:sz w:val="20"/>
                <w:color w:val="392c69"/>
              </w:rPr>
              <w:t xml:space="preserve">,</w:t>
            </w:r>
          </w:p>
          <w:p>
            <w:pPr>
              <w:pStyle w:val="0"/>
              <w:jc w:val="center"/>
            </w:pPr>
            <w:r>
              <w:rPr>
                <w:sz w:val="20"/>
                <w:color w:val="392c69"/>
              </w:rPr>
              <w:t xml:space="preserve">от 28.11.2019 </w:t>
            </w:r>
            <w:hyperlink w:history="0" r:id="rId61"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N 429-ОЗ</w:t>
              </w:r>
            </w:hyperlink>
            <w:r>
              <w:rPr>
                <w:sz w:val="20"/>
                <w:color w:val="392c69"/>
              </w:rPr>
              <w:t xml:space="preserve">, от 28.11.2019 </w:t>
            </w:r>
            <w:hyperlink w:history="0" r:id="rId62" w:tooltip="Закон Новосибирской области от 28.11.2019 N 4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30-ЗС) {КонсультантПлюс}">
              <w:r>
                <w:rPr>
                  <w:sz w:val="20"/>
                  <w:color w:val="0000ff"/>
                </w:rPr>
                <w:t xml:space="preserve">N 430-ОЗ</w:t>
              </w:r>
            </w:hyperlink>
            <w:r>
              <w:rPr>
                <w:sz w:val="20"/>
                <w:color w:val="392c69"/>
              </w:rPr>
              <w:t xml:space="preserve">, от 10.11.2020 </w:t>
            </w:r>
            <w:hyperlink w:history="0" r:id="rId63"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N 15-ОЗ</w:t>
              </w:r>
            </w:hyperlink>
            <w:r>
              <w:rPr>
                <w:sz w:val="20"/>
                <w:color w:val="392c69"/>
              </w:rPr>
              <w:t xml:space="preserve">,</w:t>
            </w:r>
          </w:p>
          <w:p>
            <w:pPr>
              <w:pStyle w:val="0"/>
              <w:jc w:val="center"/>
            </w:pPr>
            <w:r>
              <w:rPr>
                <w:sz w:val="20"/>
                <w:color w:val="392c69"/>
              </w:rPr>
              <w:t xml:space="preserve">от 10.11.2020 </w:t>
            </w:r>
            <w:hyperlink w:history="0" r:id="rId64" w:tooltip="Закон Новосибирской области от 10.11.2020 N 2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11.2020 N 21-ЗС) {КонсультантПлюс}">
              <w:r>
                <w:rPr>
                  <w:sz w:val="20"/>
                  <w:color w:val="0000ff"/>
                </w:rPr>
                <w:t xml:space="preserve">N 21-ОЗ</w:t>
              </w:r>
            </w:hyperlink>
            <w:r>
              <w:rPr>
                <w:sz w:val="20"/>
                <w:color w:val="392c69"/>
              </w:rPr>
              <w:t xml:space="preserve">, от 25.12.2020 </w:t>
            </w:r>
            <w:hyperlink w:history="0" r:id="rId65" w:tooltip="Закон Новосибирской области от 25.12.2020 N 47-ОЗ &quot;О внесении изменения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2.2020 N 47-ЗС) {КонсультантПлюс}">
              <w:r>
                <w:rPr>
                  <w:sz w:val="20"/>
                  <w:color w:val="0000ff"/>
                </w:rPr>
                <w:t xml:space="preserve">N 47-ОЗ</w:t>
              </w:r>
            </w:hyperlink>
            <w:r>
              <w:rPr>
                <w:sz w:val="20"/>
                <w:color w:val="392c69"/>
              </w:rPr>
              <w:t xml:space="preserve">, от 25.02.2021 </w:t>
            </w:r>
            <w:hyperlink w:history="0" r:id="rId6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N 60-ОЗ</w:t>
              </w:r>
            </w:hyperlink>
            <w:r>
              <w:rPr>
                <w:sz w:val="20"/>
                <w:color w:val="392c69"/>
              </w:rPr>
              <w:t xml:space="preserve">,</w:t>
            </w:r>
          </w:p>
          <w:p>
            <w:pPr>
              <w:pStyle w:val="0"/>
              <w:jc w:val="center"/>
            </w:pPr>
            <w:r>
              <w:rPr>
                <w:sz w:val="20"/>
                <w:color w:val="392c69"/>
              </w:rPr>
              <w:t xml:space="preserve">от 05.10.2021 </w:t>
            </w:r>
            <w:hyperlink w:history="0" r:id="rId67" w:tooltip="Закон Новосибирской области от 05.10.2021 N 107-ОЗ &quot;О внесении изменений в статью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7-ЗС) {КонсультантПлюс}">
              <w:r>
                <w:rPr>
                  <w:sz w:val="20"/>
                  <w:color w:val="0000ff"/>
                </w:rPr>
                <w:t xml:space="preserve">N 107-ОЗ</w:t>
              </w:r>
            </w:hyperlink>
            <w:r>
              <w:rPr>
                <w:sz w:val="20"/>
                <w:color w:val="392c69"/>
              </w:rPr>
              <w:t xml:space="preserve">, от 05.10.2021 </w:t>
            </w:r>
            <w:hyperlink w:history="0" r:id="rId68" w:tooltip="Закон Новосибирской области от 05.10.2021 N 108-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8-ЗС) {КонсультантПлюс}">
              <w:r>
                <w:rPr>
                  <w:sz w:val="20"/>
                  <w:color w:val="0000ff"/>
                </w:rPr>
                <w:t xml:space="preserve">N 108-ОЗ</w:t>
              </w:r>
            </w:hyperlink>
            <w:r>
              <w:rPr>
                <w:sz w:val="20"/>
                <w:color w:val="392c69"/>
              </w:rPr>
              <w:t xml:space="preserve">, от 02.11.2021 </w:t>
            </w:r>
            <w:hyperlink w:history="0" r:id="rId69" w:tooltip="Закон Новосибирской области от 02.11.2021 N 128-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8-ЗС) {КонсультантПлюс}">
              <w:r>
                <w:rPr>
                  <w:sz w:val="20"/>
                  <w:color w:val="0000ff"/>
                </w:rPr>
                <w:t xml:space="preserve">N 128-ОЗ</w:t>
              </w:r>
            </w:hyperlink>
            <w:r>
              <w:rPr>
                <w:sz w:val="20"/>
                <w:color w:val="392c69"/>
              </w:rPr>
              <w:t xml:space="preserve">,</w:t>
            </w:r>
          </w:p>
          <w:p>
            <w:pPr>
              <w:pStyle w:val="0"/>
              <w:jc w:val="center"/>
            </w:pPr>
            <w:r>
              <w:rPr>
                <w:sz w:val="20"/>
                <w:color w:val="392c69"/>
              </w:rPr>
              <w:t xml:space="preserve">от 02.11.2021 </w:t>
            </w:r>
            <w:hyperlink w:history="0" r:id="rId70"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N 129-ОЗ</w:t>
              </w:r>
            </w:hyperlink>
            <w:r>
              <w:rPr>
                <w:sz w:val="20"/>
                <w:color w:val="392c69"/>
              </w:rPr>
              <w:t xml:space="preserve">, от 02.11.2021 </w:t>
            </w:r>
            <w:hyperlink w:history="0" r:id="rId71"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N 130-ОЗ</w:t>
              </w:r>
            </w:hyperlink>
            <w:r>
              <w:rPr>
                <w:sz w:val="20"/>
                <w:color w:val="392c69"/>
              </w:rPr>
              <w:t xml:space="preserve">, от 02.11.2021 </w:t>
            </w:r>
            <w:hyperlink w:history="0" r:id="rId72"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color w:val="392c69"/>
              </w:rPr>
              <w:t xml:space="preserve">,</w:t>
            </w:r>
          </w:p>
          <w:p>
            <w:pPr>
              <w:pStyle w:val="0"/>
              <w:jc w:val="center"/>
            </w:pPr>
            <w:r>
              <w:rPr>
                <w:sz w:val="20"/>
                <w:color w:val="392c69"/>
              </w:rPr>
              <w:t xml:space="preserve">от 02.11.2021 </w:t>
            </w:r>
            <w:hyperlink w:history="0" r:id="rId73" w:tooltip="Закон Новосибирской области от 02.11.2021 N 134-ОЗ &quot;О внесении изменения в статью 6.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4-ЗС) {КонсультантПлюс}">
              <w:r>
                <w:rPr>
                  <w:sz w:val="20"/>
                  <w:color w:val="0000ff"/>
                </w:rPr>
                <w:t xml:space="preserve">N 134-ОЗ</w:t>
              </w:r>
            </w:hyperlink>
            <w:r>
              <w:rPr>
                <w:sz w:val="20"/>
                <w:color w:val="392c69"/>
              </w:rPr>
              <w:t xml:space="preserve">, от 06.05.2022 </w:t>
            </w:r>
            <w:hyperlink w:history="0" r:id="rId74" w:tooltip="Закон Новосибирской области от 06.05.2022 N 205-ОЗ &quot;О внесении изменений в статьи 2.3 и 4.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4.2022 N 205-ЗС) {КонсультантПлюс}">
              <w:r>
                <w:rPr>
                  <w:sz w:val="20"/>
                  <w:color w:val="0000ff"/>
                </w:rPr>
                <w:t xml:space="preserve">N 205-ОЗ</w:t>
              </w:r>
            </w:hyperlink>
            <w:r>
              <w:rPr>
                <w:sz w:val="20"/>
                <w:color w:val="392c69"/>
              </w:rPr>
              <w:t xml:space="preserve">, от 14.07.2022 </w:t>
            </w:r>
            <w:hyperlink w:history="0" r:id="rId75" w:tooltip="Закон Новосибирской области от 14.07.2022 N 219-ОЗ &quot;О внесении изменений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7.07.2022 N 219-ЗС) {КонсультантПлюс}">
              <w:r>
                <w:rPr>
                  <w:sz w:val="20"/>
                  <w:color w:val="0000ff"/>
                </w:rPr>
                <w:t xml:space="preserve">N 219-ОЗ</w:t>
              </w:r>
            </w:hyperlink>
            <w:r>
              <w:rPr>
                <w:sz w:val="20"/>
                <w:color w:val="392c69"/>
              </w:rPr>
              <w:t xml:space="preserve">,</w:t>
            </w:r>
          </w:p>
          <w:p>
            <w:pPr>
              <w:pStyle w:val="0"/>
              <w:jc w:val="center"/>
            </w:pPr>
            <w:r>
              <w:rPr>
                <w:sz w:val="20"/>
                <w:color w:val="392c69"/>
              </w:rPr>
              <w:t xml:space="preserve">от 19.07.2022 </w:t>
            </w:r>
            <w:hyperlink w:history="0" r:id="rId76"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N 242-ОЗ</w:t>
              </w:r>
            </w:hyperlink>
            <w:r>
              <w:rPr>
                <w:sz w:val="20"/>
                <w:color w:val="392c69"/>
              </w:rPr>
              <w:t xml:space="preserve">, от 05.10.2022 </w:t>
            </w:r>
            <w:hyperlink w:history="0" r:id="rId77" w:tooltip="Закон Новосибирской области от 05.10.2022 N 24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9.2022 N 244-ЗС) {КонсультантПлюс}">
              <w:r>
                <w:rPr>
                  <w:sz w:val="20"/>
                  <w:color w:val="0000ff"/>
                </w:rPr>
                <w:t xml:space="preserve">N 244-ОЗ</w:t>
              </w:r>
            </w:hyperlink>
            <w:r>
              <w:rPr>
                <w:sz w:val="20"/>
                <w:color w:val="392c69"/>
              </w:rPr>
              <w:t xml:space="preserve">, от 02.11.2022 </w:t>
            </w:r>
            <w:hyperlink w:history="0" r:id="rId78" w:tooltip="Закон Новосибирской области от 02.11.2022 N 256-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27.10.2022 N 256-ЗС) {КонсультантПлюс}">
              <w:r>
                <w:rPr>
                  <w:sz w:val="20"/>
                  <w:color w:val="0000ff"/>
                </w:rPr>
                <w:t xml:space="preserve">N 256-ОЗ</w:t>
              </w:r>
            </w:hyperlink>
            <w:r>
              <w:rPr>
                <w:sz w:val="20"/>
                <w:color w:val="392c69"/>
              </w:rPr>
              <w:t xml:space="preserve">,</w:t>
            </w:r>
          </w:p>
          <w:p>
            <w:pPr>
              <w:pStyle w:val="0"/>
              <w:jc w:val="center"/>
            </w:pPr>
            <w:r>
              <w:rPr>
                <w:sz w:val="20"/>
                <w:color w:val="392c69"/>
              </w:rPr>
              <w:t xml:space="preserve">от 02.11.2022 </w:t>
            </w:r>
            <w:hyperlink w:history="0" r:id="rId79"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N 259-ОЗ</w:t>
              </w:r>
            </w:hyperlink>
            <w:r>
              <w:rPr>
                <w:sz w:val="20"/>
                <w:color w:val="392c69"/>
              </w:rPr>
              <w:t xml:space="preserve">, от 16.12.2022 </w:t>
            </w:r>
            <w:hyperlink w:history="0" r:id="rId80" w:tooltip="Закон Новосибирской области от 16.12.2022 N 28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5.12.2022 N 284-ЗС) {КонсультантПлюс}">
              <w:r>
                <w:rPr>
                  <w:sz w:val="20"/>
                  <w:color w:val="0000ff"/>
                </w:rPr>
                <w:t xml:space="preserve">N 284-ОЗ</w:t>
              </w:r>
            </w:hyperlink>
            <w:r>
              <w:rPr>
                <w:sz w:val="20"/>
                <w:color w:val="392c69"/>
              </w:rPr>
              <w:t xml:space="preserve">, от 21.12.2022 </w:t>
            </w:r>
            <w:hyperlink w:history="0" r:id="rId81"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N 308-ОЗ</w:t>
              </w:r>
            </w:hyperlink>
            <w:r>
              <w:rPr>
                <w:sz w:val="20"/>
                <w:color w:val="392c69"/>
              </w:rPr>
              <w:t xml:space="preserve">,</w:t>
            </w:r>
          </w:p>
          <w:p>
            <w:pPr>
              <w:pStyle w:val="0"/>
              <w:jc w:val="center"/>
            </w:pPr>
            <w:r>
              <w:rPr>
                <w:sz w:val="20"/>
                <w:color w:val="392c69"/>
              </w:rPr>
              <w:t xml:space="preserve">от 14.06.2023 </w:t>
            </w:r>
            <w:hyperlink w:history="0" r:id="rId82"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color w:val="392c69"/>
              </w:rPr>
              <w:t xml:space="preserve">, от 04.10.2023 </w:t>
            </w:r>
            <w:hyperlink w:history="0" r:id="rId83"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N 364-ОЗ</w:t>
              </w:r>
            </w:hyperlink>
            <w:r>
              <w:rPr>
                <w:sz w:val="20"/>
                <w:color w:val="392c69"/>
              </w:rPr>
              <w:t xml:space="preserve">, от 27.11.2023 </w:t>
            </w:r>
            <w:hyperlink w:history="0" r:id="rId84"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N 388-ОЗ</w:t>
              </w:r>
            </w:hyperlink>
            <w:r>
              <w:rPr>
                <w:sz w:val="20"/>
                <w:color w:val="392c69"/>
              </w:rPr>
              <w:t xml:space="preserve">,</w:t>
            </w:r>
          </w:p>
          <w:p>
            <w:pPr>
              <w:pStyle w:val="0"/>
              <w:jc w:val="center"/>
            </w:pPr>
            <w:r>
              <w:rPr>
                <w:sz w:val="20"/>
                <w:color w:val="392c69"/>
              </w:rPr>
              <w:t xml:space="preserve">от 12.03.2024 </w:t>
            </w:r>
            <w:hyperlink w:history="0" r:id="rId85"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N 424-ОЗ</w:t>
              </w:r>
            </w:hyperlink>
            <w:r>
              <w:rPr>
                <w:sz w:val="20"/>
                <w:color w:val="392c69"/>
              </w:rPr>
              <w:t xml:space="preserve">,</w:t>
            </w:r>
          </w:p>
          <w:p>
            <w:pPr>
              <w:pStyle w:val="0"/>
              <w:jc w:val="center"/>
            </w:pPr>
            <w:r>
              <w:rPr>
                <w:sz w:val="20"/>
                <w:color w:val="392c69"/>
              </w:rPr>
              <w:t xml:space="preserve">с изм., внесенными </w:t>
            </w:r>
            <w:hyperlink w:history="0" r:id="rId86" w:tooltip="Закон Новосибирской области от 01.12.2016 N 121-ОЗ &quot;О приостановлении действия пункта 4 стать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21-ЗС) {КонсультантПлюс}">
              <w:r>
                <w:rPr>
                  <w:sz w:val="20"/>
                  <w:color w:val="0000ff"/>
                </w:rPr>
                <w:t xml:space="preserve">Законом</w:t>
              </w:r>
            </w:hyperlink>
            <w:r>
              <w:rPr>
                <w:sz w:val="20"/>
                <w:color w:val="392c69"/>
              </w:rPr>
              <w:t xml:space="preserve"> Новосибирской области</w:t>
            </w:r>
          </w:p>
          <w:p>
            <w:pPr>
              <w:pStyle w:val="0"/>
              <w:jc w:val="center"/>
            </w:pPr>
            <w:r>
              <w:rPr>
                <w:sz w:val="20"/>
                <w:color w:val="392c69"/>
              </w:rPr>
              <w:t xml:space="preserve">от 01.12.2016 N 121-ОЗ)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Закон в пределах полномочий, предоставленных субъекту Российской Федерации федеральным законодательством, регулирует отношения по установлению и введению региональных налогов на территории Новосибирской области, установлению дополнительных оснований признания безнадежной к взысканию задолженности по уплате региональных налогов (далее - задолженность), введению и применению специальных налоговых режимов, налоговых льгот для отдельных категорий налогоплательщиков.</w:t>
      </w:r>
    </w:p>
    <w:p>
      <w:pPr>
        <w:pStyle w:val="0"/>
        <w:jc w:val="both"/>
      </w:pPr>
      <w:r>
        <w:rPr>
          <w:sz w:val="20"/>
        </w:rPr>
        <w:t xml:space="preserve">(в ред. Законов Новосибирской области от 01.10.2013 </w:t>
      </w:r>
      <w:hyperlink w:history="0" r:id="rId87" w:tooltip="Закон Новосибирской области от 01.10.2013 N 36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об установлении дополнительного основания признания безнадежными к взысканию с физических лиц недоимки, задолженности по пеням по транспортному налогу&quot; (принят постановлением Законодательного Собрания Новосибирской области от 26.09.2013 N 363-ЗС) {КонсультантПлюс}">
        <w:r>
          <w:rPr>
            <w:sz w:val="20"/>
            <w:color w:val="0000ff"/>
          </w:rPr>
          <w:t xml:space="preserve">N 363-ОЗ</w:t>
        </w:r>
      </w:hyperlink>
      <w:r>
        <w:rPr>
          <w:sz w:val="20"/>
        </w:rPr>
        <w:t xml:space="preserve">, от 14.06.2023 </w:t>
      </w:r>
      <w:hyperlink w:history="0" r:id="rId88"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pPr>
      <w:r>
        <w:rPr>
          <w:sz w:val="20"/>
        </w:rPr>
      </w:r>
    </w:p>
    <w:p>
      <w:pPr>
        <w:pStyle w:val="2"/>
        <w:outlineLvl w:val="1"/>
        <w:jc w:val="center"/>
      </w:pPr>
      <w:r>
        <w:rPr>
          <w:sz w:val="20"/>
        </w:rPr>
        <w:t xml:space="preserve">Раздел I. СТАВКИ ПО ФЕДЕРАЛЬНЫМ НАЛОГАМ,</w:t>
      </w:r>
    </w:p>
    <w:p>
      <w:pPr>
        <w:pStyle w:val="2"/>
        <w:jc w:val="center"/>
      </w:pPr>
      <w:r>
        <w:rPr>
          <w:sz w:val="20"/>
        </w:rPr>
        <w:t xml:space="preserve">УСТАНАВЛИВАЕМЫЕ В НОВОСИБИРСКОЙ ОБЛАСТИ</w:t>
      </w:r>
    </w:p>
    <w:p>
      <w:pPr>
        <w:pStyle w:val="0"/>
      </w:pPr>
      <w:r>
        <w:rPr>
          <w:sz w:val="20"/>
        </w:rPr>
      </w:r>
    </w:p>
    <w:p>
      <w:pPr>
        <w:pStyle w:val="0"/>
        <w:ind w:firstLine="540"/>
        <w:jc w:val="both"/>
      </w:pPr>
      <w:r>
        <w:rPr>
          <w:sz w:val="20"/>
        </w:rPr>
        <w:t xml:space="preserve">Исключен с 1 января 2005 года. - </w:t>
      </w:r>
      <w:hyperlink w:history="0" r:id="rId89"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w:t>
        </w:r>
      </w:hyperlink>
      <w:r>
        <w:rPr>
          <w:sz w:val="20"/>
        </w:rPr>
        <w:t xml:space="preserve"> Новосибирской области от 25.11.2004 N 235-ОЗ.</w:t>
      </w:r>
    </w:p>
    <w:p>
      <w:pPr>
        <w:pStyle w:val="0"/>
      </w:pPr>
      <w:r>
        <w:rPr>
          <w:sz w:val="20"/>
        </w:rPr>
      </w:r>
    </w:p>
    <w:p>
      <w:pPr>
        <w:pStyle w:val="2"/>
        <w:outlineLvl w:val="1"/>
        <w:jc w:val="center"/>
      </w:pPr>
      <w:r>
        <w:rPr>
          <w:sz w:val="20"/>
        </w:rPr>
        <w:t xml:space="preserve">Раздел II. РЕГИОНАЛЬНЫЕ НАЛОГИ, УСТАНАВЛИВАЕМЫЕ</w:t>
      </w:r>
    </w:p>
    <w:p>
      <w:pPr>
        <w:pStyle w:val="2"/>
        <w:jc w:val="center"/>
      </w:pPr>
      <w:r>
        <w:rPr>
          <w:sz w:val="20"/>
        </w:rPr>
        <w:t xml:space="preserve">В НОВОСИБИРСКОЙ ОБЛАСТИ</w:t>
      </w:r>
    </w:p>
    <w:p>
      <w:pPr>
        <w:pStyle w:val="0"/>
      </w:pPr>
      <w:r>
        <w:rPr>
          <w:sz w:val="20"/>
        </w:rPr>
      </w:r>
    </w:p>
    <w:p>
      <w:pPr>
        <w:pStyle w:val="2"/>
        <w:outlineLvl w:val="2"/>
        <w:jc w:val="center"/>
      </w:pPr>
      <w:r>
        <w:rPr>
          <w:sz w:val="20"/>
        </w:rPr>
        <w:t xml:space="preserve">Глава 2. ТРАНСПОРТНЫЙ НАЛОГ</w:t>
      </w:r>
    </w:p>
    <w:p>
      <w:pPr>
        <w:pStyle w:val="0"/>
        <w:ind w:firstLine="540"/>
        <w:jc w:val="both"/>
      </w:pPr>
      <w:r>
        <w:rPr>
          <w:sz w:val="20"/>
        </w:rPr>
      </w:r>
    </w:p>
    <w:p>
      <w:pPr>
        <w:pStyle w:val="2"/>
        <w:outlineLvl w:val="3"/>
        <w:ind w:firstLine="540"/>
        <w:jc w:val="both"/>
      </w:pPr>
      <w:r>
        <w:rPr>
          <w:sz w:val="20"/>
        </w:rPr>
        <w:t xml:space="preserve">Статья 2.1. Общие положения</w:t>
      </w:r>
    </w:p>
    <w:p>
      <w:pPr>
        <w:pStyle w:val="0"/>
        <w:ind w:firstLine="540"/>
        <w:jc w:val="both"/>
      </w:pPr>
      <w:r>
        <w:rPr>
          <w:sz w:val="20"/>
        </w:rPr>
        <w:t xml:space="preserve">(в ред. </w:t>
      </w:r>
      <w:hyperlink w:history="0" r:id="rId90" w:tooltip="Закон Новосибирской области от 25.12.2018 N 333-ОЗ &quot;О внесении изменений в статьи 2.1 и 2.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18 N 333-ЗС) {КонсультантПлюс}">
        <w:r>
          <w:rPr>
            <w:sz w:val="20"/>
            <w:color w:val="0000ff"/>
          </w:rPr>
          <w:t xml:space="preserve">Закона</w:t>
        </w:r>
      </w:hyperlink>
      <w:r>
        <w:rPr>
          <w:sz w:val="20"/>
        </w:rPr>
        <w:t xml:space="preserve"> Новосибирской области от 25.12.2018 N 333-ОЗ)</w:t>
      </w:r>
    </w:p>
    <w:p>
      <w:pPr>
        <w:pStyle w:val="0"/>
        <w:ind w:firstLine="540"/>
        <w:jc w:val="both"/>
      </w:pPr>
      <w:r>
        <w:rPr>
          <w:sz w:val="20"/>
        </w:rPr>
      </w:r>
    </w:p>
    <w:p>
      <w:pPr>
        <w:pStyle w:val="0"/>
        <w:ind w:firstLine="540"/>
        <w:jc w:val="both"/>
      </w:pPr>
      <w:r>
        <w:rPr>
          <w:sz w:val="20"/>
        </w:rPr>
        <w:t xml:space="preserve">Настоящей главой в соответствии с </w:t>
      </w:r>
      <w:hyperlink w:history="0" r:id="rId91"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главой 28</w:t>
        </w:r>
      </w:hyperlink>
      <w:r>
        <w:rPr>
          <w:sz w:val="20"/>
        </w:rPr>
        <w:t xml:space="preserve"> Налогового кодекса Российской Федерации устанавливаются налоговые ставки, налоговые льготы, основания и порядок их применения налогоплательщиками на территории Новосибирской области. В отношении налогоплательщиков-организаций определяется порядок уплаты транспортного налога.</w:t>
      </w:r>
    </w:p>
    <w:p>
      <w:pPr>
        <w:pStyle w:val="0"/>
        <w:jc w:val="both"/>
      </w:pPr>
      <w:r>
        <w:rPr>
          <w:sz w:val="20"/>
        </w:rPr>
        <w:t xml:space="preserve">(в ред. Законов Новосибирской области от 28.11.2019 </w:t>
      </w:r>
      <w:hyperlink w:history="0" r:id="rId92" w:tooltip="Закон Новосибирской области от 28.11.2019 N 4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30-ЗС) {КонсультантПлюс}">
        <w:r>
          <w:rPr>
            <w:sz w:val="20"/>
            <w:color w:val="0000ff"/>
          </w:rPr>
          <w:t xml:space="preserve">N 430-ОЗ</w:t>
        </w:r>
      </w:hyperlink>
      <w:r>
        <w:rPr>
          <w:sz w:val="20"/>
        </w:rPr>
        <w:t xml:space="preserve">, от 02.11.2021 </w:t>
      </w:r>
      <w:hyperlink w:history="0" r:id="rId93"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N 129-ОЗ</w:t>
        </w:r>
      </w:hyperlink>
      <w:r>
        <w:rPr>
          <w:sz w:val="20"/>
        </w:rPr>
        <w:t xml:space="preserve">)</w:t>
      </w:r>
    </w:p>
    <w:p>
      <w:pPr>
        <w:pStyle w:val="0"/>
        <w:ind w:firstLine="540"/>
        <w:jc w:val="both"/>
      </w:pPr>
      <w:r>
        <w:rPr>
          <w:sz w:val="20"/>
        </w:rPr>
      </w:r>
    </w:p>
    <w:bookmarkStart w:id="65" w:name="P65"/>
    <w:bookmarkEnd w:id="65"/>
    <w:p>
      <w:pPr>
        <w:pStyle w:val="2"/>
        <w:outlineLvl w:val="3"/>
        <w:ind w:firstLine="540"/>
        <w:jc w:val="both"/>
      </w:pPr>
      <w:r>
        <w:rPr>
          <w:sz w:val="20"/>
        </w:rPr>
        <w:t xml:space="preserve">Статья 2.2. Налоговые ставки</w:t>
      </w:r>
    </w:p>
    <w:p>
      <w:pPr>
        <w:pStyle w:val="0"/>
      </w:pPr>
      <w:r>
        <w:rPr>
          <w:sz w:val="20"/>
        </w:rPr>
      </w:r>
    </w:p>
    <w:p>
      <w:pPr>
        <w:pStyle w:val="0"/>
        <w:ind w:firstLine="540"/>
        <w:jc w:val="both"/>
      </w:pPr>
      <w:hyperlink w:history="0" r:id="rId94"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Ставки</w:t>
        </w:r>
      </w:hyperlink>
      <w:r>
        <w:rPr>
          <w:sz w:val="20"/>
        </w:rPr>
        <w:t xml:space="preserve"> транспортного налога устанавливаются в следующих размерах.</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406"/>
        <w:gridCol w:w="1871"/>
      </w:tblGrid>
      <w:tr>
        <w:tc>
          <w:tcPr>
            <w:tcW w:w="794" w:type="dxa"/>
          </w:tcPr>
          <w:p>
            <w:pPr>
              <w:pStyle w:val="0"/>
              <w:jc w:val="center"/>
            </w:pPr>
            <w:r>
              <w:rPr>
                <w:sz w:val="20"/>
              </w:rPr>
            </w:r>
          </w:p>
        </w:tc>
        <w:tc>
          <w:tcPr>
            <w:tcW w:w="6406" w:type="dxa"/>
          </w:tcPr>
          <w:p>
            <w:pPr>
              <w:pStyle w:val="0"/>
              <w:jc w:val="center"/>
            </w:pPr>
            <w:r>
              <w:rPr>
                <w:sz w:val="20"/>
              </w:rPr>
              <w:t xml:space="preserve">Наименование объекта налогообложения</w:t>
            </w:r>
          </w:p>
        </w:tc>
        <w:tc>
          <w:tcPr>
            <w:tcW w:w="1871" w:type="dxa"/>
          </w:tcPr>
          <w:p>
            <w:pPr>
              <w:pStyle w:val="0"/>
              <w:jc w:val="center"/>
            </w:pPr>
            <w:r>
              <w:rPr>
                <w:sz w:val="20"/>
              </w:rPr>
              <w:t xml:space="preserve">Налоговая ставка (в руб.)</w:t>
            </w:r>
          </w:p>
        </w:tc>
      </w:tr>
      <w:tr>
        <w:tc>
          <w:tcPr>
            <w:tcW w:w="794" w:type="dxa"/>
          </w:tcPr>
          <w:bookmarkStart w:id="72" w:name="P72"/>
          <w:bookmarkEnd w:id="72"/>
          <w:p>
            <w:pPr>
              <w:pStyle w:val="0"/>
            </w:pPr>
            <w:r>
              <w:rPr>
                <w:sz w:val="20"/>
              </w:rPr>
              <w:t xml:space="preserve">1.</w:t>
            </w:r>
          </w:p>
        </w:tc>
        <w:tc>
          <w:tcPr>
            <w:tcW w:w="6406" w:type="dxa"/>
          </w:tcPr>
          <w:p>
            <w:pPr>
              <w:pStyle w:val="0"/>
            </w:pPr>
            <w:r>
              <w:rPr>
                <w:sz w:val="20"/>
              </w:rPr>
              <w:t xml:space="preserve">Автомобили легковые с мощностью двигателя (с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bookmarkStart w:id="75" w:name="P75"/>
          <w:bookmarkEnd w:id="75"/>
          <w:p>
            <w:pPr>
              <w:pStyle w:val="0"/>
            </w:pPr>
            <w:r>
              <w:rPr>
                <w:sz w:val="20"/>
              </w:rPr>
              <w:t xml:space="preserve">1.1.</w:t>
            </w:r>
          </w:p>
        </w:tc>
        <w:tc>
          <w:tcPr>
            <w:tcW w:w="6406" w:type="dxa"/>
            <w:tcBorders>
              <w:bottom w:val="nil"/>
            </w:tcBorders>
          </w:tcPr>
          <w:p>
            <w:pPr>
              <w:pStyle w:val="0"/>
            </w:pPr>
            <w:r>
              <w:rPr>
                <w:sz w:val="20"/>
              </w:rPr>
              <w:t xml:space="preserve">до 100 л.с. (до 73,55 кВт) включительно</w:t>
            </w:r>
          </w:p>
        </w:tc>
        <w:tc>
          <w:tcPr>
            <w:tcW w:w="1871" w:type="dxa"/>
            <w:tcBorders>
              <w:bottom w:val="nil"/>
            </w:tcBorders>
          </w:tcPr>
          <w:p>
            <w:pPr>
              <w:pStyle w:val="0"/>
              <w:jc w:val="center"/>
            </w:pPr>
            <w:r>
              <w:rPr>
                <w:sz w:val="20"/>
              </w:rPr>
              <w:t xml:space="preserve">10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95"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96"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bookmarkStart w:id="79" w:name="P79"/>
          <w:bookmarkEnd w:id="79"/>
          <w:p>
            <w:pPr>
              <w:pStyle w:val="0"/>
            </w:pPr>
            <w:r>
              <w:rPr>
                <w:sz w:val="20"/>
              </w:rPr>
              <w:t xml:space="preserve">1.2.</w:t>
            </w:r>
          </w:p>
        </w:tc>
        <w:tc>
          <w:tcPr>
            <w:tcW w:w="6406" w:type="dxa"/>
            <w:tcBorders>
              <w:bottom w:val="nil"/>
            </w:tcBorders>
          </w:tcPr>
          <w:p>
            <w:pPr>
              <w:pStyle w:val="0"/>
            </w:pPr>
            <w:r>
              <w:rPr>
                <w:sz w:val="20"/>
              </w:rPr>
              <w:t xml:space="preserve">свыше 100 л.с. до 150 л.с. (свыше 73,55 кВт до 110,33 кВт) включительно</w:t>
            </w:r>
          </w:p>
        </w:tc>
        <w:tc>
          <w:tcPr>
            <w:tcW w:w="1871" w:type="dxa"/>
            <w:tcBorders>
              <w:bottom w:val="nil"/>
            </w:tcBorders>
          </w:tcPr>
          <w:p>
            <w:pPr>
              <w:pStyle w:val="0"/>
              <w:jc w:val="center"/>
            </w:pPr>
            <w:r>
              <w:rPr>
                <w:sz w:val="20"/>
              </w:rPr>
              <w:t xml:space="preserve">15</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97"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98"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Borders>
              <w:bottom w:val="nil"/>
            </w:tcBorders>
            <w:vMerge w:val="restart"/>
          </w:tcPr>
          <w:p>
            <w:pPr>
              <w:pStyle w:val="0"/>
            </w:pPr>
            <w:r>
              <w:rPr>
                <w:sz w:val="20"/>
              </w:rPr>
              <w:t xml:space="preserve">1.3.</w:t>
            </w:r>
          </w:p>
        </w:tc>
        <w:tc>
          <w:tcPr>
            <w:tcW w:w="6406" w:type="dxa"/>
            <w:tcBorders>
              <w:bottom w:val="nil"/>
            </w:tcBorders>
          </w:tcPr>
          <w:p>
            <w:pPr>
              <w:pStyle w:val="0"/>
            </w:pPr>
            <w:r>
              <w:rPr>
                <w:sz w:val="20"/>
              </w:rPr>
              <w:t xml:space="preserve">свыше 150 л.с. до 200 л.с. (свыше 110,33 кВт до 147,1 кВт) включительно, с учетом количества лет, прошедших с года выпуска транспортного средства:</w:t>
            </w:r>
          </w:p>
        </w:tc>
        <w:tc>
          <w:tcPr>
            <w:tcW w:w="1871" w:type="dxa"/>
            <w:tcBorders>
              <w:bottom w:val="nil"/>
            </w:tcBorders>
          </w:tcPr>
          <w:p>
            <w:pPr>
              <w:pStyle w:val="0"/>
              <w:jc w:val="center"/>
            </w:pPr>
            <w:r>
              <w:rPr>
                <w:sz w:val="20"/>
              </w:rPr>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до 5 лет включительно</w:t>
            </w:r>
          </w:p>
        </w:tc>
        <w:tc>
          <w:tcPr>
            <w:tcW w:w="1871" w:type="dxa"/>
            <w:tcBorders>
              <w:top w:val="nil"/>
              <w:bottom w:val="nil"/>
            </w:tcBorders>
          </w:tcPr>
          <w:p>
            <w:pPr>
              <w:pStyle w:val="0"/>
              <w:jc w:val="center"/>
            </w:pPr>
            <w:r>
              <w:rPr>
                <w:sz w:val="20"/>
              </w:rPr>
              <w:t xml:space="preserve">50</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от 5 до 10 лет включительно</w:t>
            </w:r>
          </w:p>
        </w:tc>
        <w:tc>
          <w:tcPr>
            <w:tcW w:w="1871" w:type="dxa"/>
            <w:tcBorders>
              <w:top w:val="nil"/>
              <w:bottom w:val="nil"/>
            </w:tcBorders>
          </w:tcPr>
          <w:p>
            <w:pPr>
              <w:pStyle w:val="0"/>
              <w:jc w:val="center"/>
            </w:pPr>
            <w:r>
              <w:rPr>
                <w:sz w:val="20"/>
              </w:rPr>
              <w:t xml:space="preserve">37</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свыше 10 лет</w:t>
            </w:r>
          </w:p>
        </w:tc>
        <w:tc>
          <w:tcPr>
            <w:tcW w:w="1871" w:type="dxa"/>
            <w:tcBorders>
              <w:top w:val="nil"/>
              <w:bottom w:val="nil"/>
            </w:tcBorders>
          </w:tcPr>
          <w:p>
            <w:pPr>
              <w:pStyle w:val="0"/>
              <w:jc w:val="center"/>
            </w:pPr>
            <w:r>
              <w:rPr>
                <w:sz w:val="20"/>
              </w:rPr>
              <w:t xml:space="preserve">25</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99"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00"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Borders>
              <w:bottom w:val="nil"/>
            </w:tcBorders>
            <w:vMerge w:val="restart"/>
          </w:tcPr>
          <w:p>
            <w:pPr>
              <w:pStyle w:val="0"/>
            </w:pPr>
            <w:r>
              <w:rPr>
                <w:sz w:val="20"/>
              </w:rPr>
              <w:t xml:space="preserve">1.4.</w:t>
            </w:r>
          </w:p>
        </w:tc>
        <w:tc>
          <w:tcPr>
            <w:tcW w:w="6406" w:type="dxa"/>
            <w:tcBorders>
              <w:bottom w:val="nil"/>
            </w:tcBorders>
          </w:tcPr>
          <w:p>
            <w:pPr>
              <w:pStyle w:val="0"/>
            </w:pPr>
            <w:r>
              <w:rPr>
                <w:sz w:val="20"/>
              </w:rPr>
              <w:t xml:space="preserve">свыше 200 л.с. до 250 л.с. (свыше 147,1 кВт до 183,9 кВт) включительно, с учетом количества лет, прошедших с года выпуска транспортного средства:</w:t>
            </w:r>
          </w:p>
        </w:tc>
        <w:tc>
          <w:tcPr>
            <w:tcW w:w="1871" w:type="dxa"/>
            <w:tcBorders>
              <w:bottom w:val="nil"/>
            </w:tcBorders>
          </w:tcPr>
          <w:p>
            <w:pPr>
              <w:pStyle w:val="0"/>
              <w:jc w:val="center"/>
            </w:pPr>
            <w:r>
              <w:rPr>
                <w:sz w:val="20"/>
              </w:rPr>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до 5 лет включительно</w:t>
            </w:r>
          </w:p>
        </w:tc>
        <w:tc>
          <w:tcPr>
            <w:tcW w:w="1871" w:type="dxa"/>
            <w:tcBorders>
              <w:top w:val="nil"/>
              <w:bottom w:val="nil"/>
            </w:tcBorders>
          </w:tcPr>
          <w:p>
            <w:pPr>
              <w:pStyle w:val="0"/>
              <w:jc w:val="center"/>
            </w:pPr>
            <w:r>
              <w:rPr>
                <w:sz w:val="20"/>
              </w:rPr>
              <w:t xml:space="preserve">75</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от 5 до 10 лет включительно</w:t>
            </w:r>
          </w:p>
        </w:tc>
        <w:tc>
          <w:tcPr>
            <w:tcW w:w="1871" w:type="dxa"/>
            <w:tcBorders>
              <w:top w:val="nil"/>
              <w:bottom w:val="nil"/>
            </w:tcBorders>
          </w:tcPr>
          <w:p>
            <w:pPr>
              <w:pStyle w:val="0"/>
              <w:jc w:val="center"/>
            </w:pPr>
            <w:r>
              <w:rPr>
                <w:sz w:val="20"/>
              </w:rPr>
              <w:t xml:space="preserve">56</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свыше 10 лет</w:t>
            </w:r>
          </w:p>
        </w:tc>
        <w:tc>
          <w:tcPr>
            <w:tcW w:w="1871" w:type="dxa"/>
            <w:tcBorders>
              <w:top w:val="nil"/>
              <w:bottom w:val="nil"/>
            </w:tcBorders>
          </w:tcPr>
          <w:p>
            <w:pPr>
              <w:pStyle w:val="0"/>
              <w:jc w:val="center"/>
            </w:pPr>
            <w:r>
              <w:rPr>
                <w:sz w:val="20"/>
              </w:rPr>
              <w:t xml:space="preserve">37,5</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01"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02"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Borders>
              <w:bottom w:val="nil"/>
            </w:tcBorders>
            <w:vMerge w:val="restart"/>
          </w:tcPr>
          <w:p>
            <w:pPr>
              <w:pStyle w:val="0"/>
            </w:pPr>
            <w:r>
              <w:rPr>
                <w:sz w:val="20"/>
              </w:rPr>
              <w:t xml:space="preserve">1.5.</w:t>
            </w:r>
          </w:p>
        </w:tc>
        <w:tc>
          <w:tcPr>
            <w:tcW w:w="6406" w:type="dxa"/>
            <w:tcBorders>
              <w:bottom w:val="nil"/>
            </w:tcBorders>
          </w:tcPr>
          <w:p>
            <w:pPr>
              <w:pStyle w:val="0"/>
            </w:pPr>
            <w:r>
              <w:rPr>
                <w:sz w:val="20"/>
              </w:rPr>
              <w:t xml:space="preserve">свыше 250 л.с. (свыше 183,9 кВт), с учетом количества лет, прошедших с года выпуска транспортного средства:</w:t>
            </w:r>
          </w:p>
        </w:tc>
        <w:tc>
          <w:tcPr>
            <w:tcW w:w="1871" w:type="dxa"/>
            <w:tcBorders>
              <w:bottom w:val="nil"/>
            </w:tcBorders>
          </w:tcPr>
          <w:p>
            <w:pPr>
              <w:pStyle w:val="0"/>
              <w:jc w:val="center"/>
            </w:pPr>
            <w:r>
              <w:rPr>
                <w:sz w:val="20"/>
              </w:rPr>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до 5 лет включительно</w:t>
            </w:r>
          </w:p>
        </w:tc>
        <w:tc>
          <w:tcPr>
            <w:tcW w:w="1871" w:type="dxa"/>
            <w:tcBorders>
              <w:top w:val="nil"/>
              <w:bottom w:val="nil"/>
            </w:tcBorders>
          </w:tcPr>
          <w:p>
            <w:pPr>
              <w:pStyle w:val="0"/>
              <w:jc w:val="center"/>
            </w:pPr>
            <w:r>
              <w:rPr>
                <w:sz w:val="20"/>
              </w:rPr>
              <w:t xml:space="preserve">150</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от 5 до 10 лет включительно</w:t>
            </w:r>
          </w:p>
        </w:tc>
        <w:tc>
          <w:tcPr>
            <w:tcW w:w="1871" w:type="dxa"/>
            <w:tcBorders>
              <w:top w:val="nil"/>
              <w:bottom w:val="nil"/>
            </w:tcBorders>
          </w:tcPr>
          <w:p>
            <w:pPr>
              <w:pStyle w:val="0"/>
              <w:jc w:val="center"/>
            </w:pPr>
            <w:r>
              <w:rPr>
                <w:sz w:val="20"/>
              </w:rPr>
              <w:t xml:space="preserve">112,5</w:t>
            </w:r>
          </w:p>
        </w:tc>
      </w:tr>
      <w:tr>
        <w:tblPrEx>
          <w:tblBorders>
            <w:insideH w:val="nil"/>
          </w:tblBorders>
        </w:tblPrEx>
        <w:tc>
          <w:tcPr>
            <w:tcBorders>
              <w:bottom w:val="nil"/>
            </w:tcBorders>
            <w:vMerge w:val="continue"/>
          </w:tcPr>
          <w:p/>
        </w:tc>
        <w:tc>
          <w:tcPr>
            <w:tcW w:w="6406" w:type="dxa"/>
            <w:tcBorders>
              <w:top w:val="nil"/>
              <w:bottom w:val="nil"/>
            </w:tcBorders>
          </w:tcPr>
          <w:p>
            <w:pPr>
              <w:pStyle w:val="0"/>
            </w:pPr>
            <w:r>
              <w:rPr>
                <w:sz w:val="20"/>
              </w:rPr>
              <w:t xml:space="preserve">- свыше 10 лет</w:t>
            </w:r>
          </w:p>
        </w:tc>
        <w:tc>
          <w:tcPr>
            <w:tcW w:w="1871" w:type="dxa"/>
            <w:tcBorders>
              <w:top w:val="nil"/>
              <w:bottom w:val="nil"/>
            </w:tcBorders>
          </w:tcPr>
          <w:p>
            <w:pPr>
              <w:pStyle w:val="0"/>
              <w:jc w:val="center"/>
            </w:pPr>
            <w:r>
              <w:rPr>
                <w:sz w:val="20"/>
              </w:rPr>
              <w:t xml:space="preserve">75</w:t>
            </w:r>
          </w:p>
        </w:tc>
      </w:tr>
      <w:tr>
        <w:tblPrEx>
          <w:tblBorders>
            <w:insideH w:val="nil"/>
          </w:tblBorders>
        </w:tblPrEx>
        <w:tc>
          <w:tcPr>
            <w:gridSpan w:val="3"/>
            <w:tcW w:w="9071" w:type="dxa"/>
            <w:tcBorders>
              <w:top w:val="nil"/>
            </w:tcBorders>
          </w:tcPr>
          <w:p>
            <w:pPr>
              <w:pStyle w:val="0"/>
              <w:jc w:val="both"/>
            </w:pPr>
            <w:r>
              <w:rPr>
                <w:sz w:val="20"/>
              </w:rPr>
              <w:t xml:space="preserve">(пп. 1.5 в ред. </w:t>
            </w:r>
            <w:hyperlink w:history="0" r:id="rId103"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Закона</w:t>
              </w:r>
            </w:hyperlink>
            <w:r>
              <w:rPr>
                <w:sz w:val="20"/>
              </w:rPr>
              <w:t xml:space="preserve"> Новосибирской области от 19.10.2006 N 31-ОЗ)</w:t>
            </w:r>
          </w:p>
        </w:tc>
      </w:tr>
      <w:tr>
        <w:tc>
          <w:tcPr>
            <w:tcW w:w="794" w:type="dxa"/>
          </w:tcPr>
          <w:bookmarkStart w:id="113" w:name="P113"/>
          <w:bookmarkEnd w:id="113"/>
          <w:p>
            <w:pPr>
              <w:pStyle w:val="0"/>
            </w:pPr>
            <w:r>
              <w:rPr>
                <w:sz w:val="20"/>
              </w:rPr>
              <w:t xml:space="preserve">2.</w:t>
            </w:r>
          </w:p>
        </w:tc>
        <w:tc>
          <w:tcPr>
            <w:tcW w:w="6406" w:type="dxa"/>
          </w:tcPr>
          <w:p>
            <w:pPr>
              <w:pStyle w:val="0"/>
            </w:pPr>
            <w:r>
              <w:rPr>
                <w:sz w:val="20"/>
              </w:rPr>
              <w:t xml:space="preserve">Мотоциклы и мотороллеры с мощностью двигателя (с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bookmarkStart w:id="116" w:name="P116"/>
          <w:bookmarkEnd w:id="116"/>
          <w:p>
            <w:pPr>
              <w:pStyle w:val="0"/>
            </w:pPr>
            <w:r>
              <w:rPr>
                <w:sz w:val="20"/>
              </w:rPr>
              <w:t xml:space="preserve">2.1.</w:t>
            </w:r>
          </w:p>
        </w:tc>
        <w:tc>
          <w:tcPr>
            <w:tcW w:w="6406" w:type="dxa"/>
            <w:tcBorders>
              <w:bottom w:val="nil"/>
            </w:tcBorders>
          </w:tcPr>
          <w:p>
            <w:pPr>
              <w:pStyle w:val="0"/>
            </w:pPr>
            <w:r>
              <w:rPr>
                <w:sz w:val="20"/>
              </w:rPr>
              <w:t xml:space="preserve">до 20 л.с. (до 14,7 кВт) включительно</w:t>
            </w:r>
          </w:p>
        </w:tc>
        <w:tc>
          <w:tcPr>
            <w:tcW w:w="1871" w:type="dxa"/>
            <w:tcBorders>
              <w:bottom w:val="nil"/>
            </w:tcBorders>
          </w:tcPr>
          <w:p>
            <w:pPr>
              <w:pStyle w:val="0"/>
              <w:jc w:val="center"/>
            </w:pPr>
            <w:r>
              <w:rPr>
                <w:sz w:val="20"/>
              </w:rPr>
              <w:t xml:space="preserve">5</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04"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05"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bookmarkStart w:id="120" w:name="P120"/>
          <w:bookmarkEnd w:id="120"/>
          <w:p>
            <w:pPr>
              <w:pStyle w:val="0"/>
            </w:pPr>
            <w:r>
              <w:rPr>
                <w:sz w:val="20"/>
              </w:rPr>
              <w:t xml:space="preserve">2.2.</w:t>
            </w:r>
          </w:p>
        </w:tc>
        <w:tc>
          <w:tcPr>
            <w:tcW w:w="6406" w:type="dxa"/>
            <w:tcBorders>
              <w:bottom w:val="nil"/>
            </w:tcBorders>
          </w:tcPr>
          <w:p>
            <w:pPr>
              <w:pStyle w:val="0"/>
            </w:pPr>
            <w:r>
              <w:rPr>
                <w:sz w:val="20"/>
              </w:rPr>
              <w:t xml:space="preserve">свыше 20 л.с. до 35 л.с. (свыше 14,7 кВт до 25,74 кВт) включительно</w:t>
            </w:r>
          </w:p>
        </w:tc>
        <w:tc>
          <w:tcPr>
            <w:tcW w:w="1871" w:type="dxa"/>
            <w:tcBorders>
              <w:bottom w:val="nil"/>
            </w:tcBorders>
          </w:tcPr>
          <w:p>
            <w:pPr>
              <w:pStyle w:val="0"/>
              <w:jc w:val="center"/>
            </w:pPr>
            <w:r>
              <w:rPr>
                <w:sz w:val="20"/>
              </w:rPr>
              <w:t xml:space="preserve">8</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06"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07"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bookmarkStart w:id="124" w:name="P124"/>
          <w:bookmarkEnd w:id="124"/>
          <w:p>
            <w:pPr>
              <w:pStyle w:val="0"/>
            </w:pPr>
            <w:r>
              <w:rPr>
                <w:sz w:val="20"/>
              </w:rPr>
              <w:t xml:space="preserve">2.3.</w:t>
            </w:r>
          </w:p>
        </w:tc>
        <w:tc>
          <w:tcPr>
            <w:tcW w:w="6406" w:type="dxa"/>
            <w:tcBorders>
              <w:bottom w:val="nil"/>
            </w:tcBorders>
          </w:tcPr>
          <w:p>
            <w:pPr>
              <w:pStyle w:val="0"/>
            </w:pPr>
            <w:r>
              <w:rPr>
                <w:sz w:val="20"/>
              </w:rPr>
              <w:t xml:space="preserve">свыше 35 л.с. (свыше 25,74 кВт)</w:t>
            </w:r>
          </w:p>
        </w:tc>
        <w:tc>
          <w:tcPr>
            <w:tcW w:w="1871" w:type="dxa"/>
            <w:tcBorders>
              <w:bottom w:val="nil"/>
            </w:tcBorders>
          </w:tcPr>
          <w:p>
            <w:pPr>
              <w:pStyle w:val="0"/>
              <w:jc w:val="center"/>
            </w:pPr>
            <w:r>
              <w:rPr>
                <w:sz w:val="20"/>
              </w:rPr>
              <w:t xml:space="preserve">30</w:t>
            </w:r>
          </w:p>
        </w:tc>
      </w:tr>
      <w:tr>
        <w:tblPrEx>
          <w:tblBorders>
            <w:insideH w:val="nil"/>
          </w:tblBorders>
        </w:tblPrEx>
        <w:tc>
          <w:tcPr>
            <w:gridSpan w:val="3"/>
            <w:tcW w:w="9071" w:type="dxa"/>
            <w:tcBorders>
              <w:top w:val="nil"/>
            </w:tcBorders>
          </w:tcPr>
          <w:p>
            <w:pPr>
              <w:pStyle w:val="0"/>
              <w:jc w:val="both"/>
            </w:pPr>
            <w:r>
              <w:rPr>
                <w:sz w:val="20"/>
              </w:rPr>
              <w:t xml:space="preserve">(пп. 2.3 в ред. </w:t>
            </w:r>
            <w:hyperlink w:history="0" r:id="rId108"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Закона</w:t>
              </w:r>
            </w:hyperlink>
            <w:r>
              <w:rPr>
                <w:sz w:val="20"/>
              </w:rPr>
              <w:t xml:space="preserve"> Новосибирской области от 02.11.2021 N 133-ОЗ)</w:t>
            </w:r>
          </w:p>
        </w:tc>
      </w:tr>
      <w:tr>
        <w:tblPrEx>
          <w:tblBorders>
            <w:insideH w:val="nil"/>
          </w:tblBorders>
        </w:tblPrEx>
        <w:tc>
          <w:tcPr>
            <w:tcW w:w="794" w:type="dxa"/>
            <w:tcBorders>
              <w:bottom w:val="nil"/>
            </w:tcBorders>
          </w:tcPr>
          <w:p>
            <w:pPr>
              <w:pStyle w:val="0"/>
            </w:pPr>
            <w:r>
              <w:rPr>
                <w:sz w:val="20"/>
              </w:rPr>
              <w:t xml:space="preserve">2.4.</w:t>
            </w:r>
          </w:p>
        </w:tc>
        <w:tc>
          <w:tcPr>
            <w:gridSpan w:val="2"/>
            <w:tcW w:w="8277" w:type="dxa"/>
            <w:tcBorders>
              <w:bottom w:val="nil"/>
            </w:tcBorders>
          </w:tcPr>
          <w:p>
            <w:pPr>
              <w:pStyle w:val="0"/>
              <w:jc w:val="both"/>
            </w:pPr>
            <w:r>
              <w:rPr>
                <w:sz w:val="20"/>
              </w:rPr>
              <w:t xml:space="preserve">Утратил силу с 1 января 2022 года. - </w:t>
            </w:r>
            <w:hyperlink w:history="0" r:id="rId109"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Закон</w:t>
              </w:r>
            </w:hyperlink>
            <w:r>
              <w:rPr>
                <w:sz w:val="20"/>
              </w:rPr>
              <w:t xml:space="preserve"> Новосибирской области от 02.11.2021 N 133-ОЗ</w:t>
            </w:r>
          </w:p>
        </w:tc>
      </w:tr>
      <w:tr>
        <w:tc>
          <w:tcPr>
            <w:tcW w:w="794" w:type="dxa"/>
          </w:tcPr>
          <w:bookmarkStart w:id="130" w:name="P130"/>
          <w:bookmarkEnd w:id="130"/>
          <w:p>
            <w:pPr>
              <w:pStyle w:val="0"/>
            </w:pPr>
            <w:r>
              <w:rPr>
                <w:sz w:val="20"/>
              </w:rPr>
              <w:t xml:space="preserve">3.</w:t>
            </w:r>
          </w:p>
        </w:tc>
        <w:tc>
          <w:tcPr>
            <w:tcW w:w="6406" w:type="dxa"/>
          </w:tcPr>
          <w:p>
            <w:pPr>
              <w:pStyle w:val="0"/>
            </w:pPr>
            <w:r>
              <w:rPr>
                <w:sz w:val="20"/>
              </w:rPr>
              <w:t xml:space="preserve">Автобусы с мощностью двигателя (с каждой лошадиной силы):</w:t>
            </w:r>
          </w:p>
        </w:tc>
        <w:tc>
          <w:tcPr>
            <w:tcW w:w="1871" w:type="dxa"/>
          </w:tcPr>
          <w:p>
            <w:pPr>
              <w:pStyle w:val="0"/>
              <w:jc w:val="center"/>
            </w:pPr>
            <w:r>
              <w:rPr>
                <w:sz w:val="20"/>
              </w:rPr>
            </w:r>
          </w:p>
        </w:tc>
      </w:tr>
      <w:tr>
        <w:tc>
          <w:tcPr>
            <w:tcW w:w="794" w:type="dxa"/>
          </w:tcPr>
          <w:bookmarkStart w:id="133" w:name="P133"/>
          <w:bookmarkEnd w:id="133"/>
          <w:p>
            <w:pPr>
              <w:pStyle w:val="0"/>
            </w:pPr>
            <w:r>
              <w:rPr>
                <w:sz w:val="20"/>
              </w:rPr>
              <w:t xml:space="preserve">3.1.</w:t>
            </w:r>
          </w:p>
        </w:tc>
        <w:tc>
          <w:tcPr>
            <w:tcW w:w="6406" w:type="dxa"/>
          </w:tcPr>
          <w:p>
            <w:pPr>
              <w:pStyle w:val="0"/>
            </w:pPr>
            <w:r>
              <w:rPr>
                <w:sz w:val="20"/>
              </w:rPr>
              <w:t xml:space="preserve">до 200 л.с. (до 147,1 кВт) включительно</w:t>
            </w:r>
          </w:p>
        </w:tc>
        <w:tc>
          <w:tcPr>
            <w:tcW w:w="1871" w:type="dxa"/>
          </w:tcPr>
          <w:p>
            <w:pPr>
              <w:pStyle w:val="0"/>
              <w:jc w:val="center"/>
            </w:pPr>
            <w:r>
              <w:rPr>
                <w:sz w:val="20"/>
              </w:rPr>
              <w:t xml:space="preserve">50</w:t>
            </w:r>
          </w:p>
        </w:tc>
      </w:tr>
      <w:tr>
        <w:tc>
          <w:tcPr>
            <w:tcW w:w="794" w:type="dxa"/>
          </w:tcPr>
          <w:p>
            <w:pPr>
              <w:pStyle w:val="0"/>
            </w:pPr>
            <w:r>
              <w:rPr>
                <w:sz w:val="20"/>
              </w:rPr>
              <w:t xml:space="preserve">3.2.</w:t>
            </w:r>
          </w:p>
        </w:tc>
        <w:tc>
          <w:tcPr>
            <w:tcW w:w="6406" w:type="dxa"/>
          </w:tcPr>
          <w:p>
            <w:pPr>
              <w:pStyle w:val="0"/>
            </w:pPr>
            <w:r>
              <w:rPr>
                <w:sz w:val="20"/>
              </w:rPr>
              <w:t xml:space="preserve">свыше 200 л.с. (свыше 147,1 кВт)</w:t>
            </w:r>
          </w:p>
        </w:tc>
        <w:tc>
          <w:tcPr>
            <w:tcW w:w="1871" w:type="dxa"/>
          </w:tcPr>
          <w:p>
            <w:pPr>
              <w:pStyle w:val="0"/>
              <w:jc w:val="center"/>
            </w:pPr>
            <w:r>
              <w:rPr>
                <w:sz w:val="20"/>
              </w:rPr>
              <w:t xml:space="preserve">100</w:t>
            </w:r>
          </w:p>
        </w:tc>
      </w:tr>
      <w:tr>
        <w:tc>
          <w:tcPr>
            <w:tcW w:w="794" w:type="dxa"/>
          </w:tcPr>
          <w:bookmarkStart w:id="139" w:name="P139"/>
          <w:bookmarkEnd w:id="139"/>
          <w:p>
            <w:pPr>
              <w:pStyle w:val="0"/>
            </w:pPr>
            <w:r>
              <w:rPr>
                <w:sz w:val="20"/>
              </w:rPr>
              <w:t xml:space="preserve">4.</w:t>
            </w:r>
          </w:p>
        </w:tc>
        <w:tc>
          <w:tcPr>
            <w:tcW w:w="6406" w:type="dxa"/>
          </w:tcPr>
          <w:p>
            <w:pPr>
              <w:pStyle w:val="0"/>
            </w:pPr>
            <w:r>
              <w:rPr>
                <w:sz w:val="20"/>
              </w:rPr>
              <w:t xml:space="preserve">Грузовые автомобили с мощностью двигателя (с каждой лошадиной силы):</w:t>
            </w:r>
          </w:p>
        </w:tc>
        <w:tc>
          <w:tcPr>
            <w:tcW w:w="1871" w:type="dxa"/>
          </w:tcPr>
          <w:p>
            <w:pPr>
              <w:pStyle w:val="0"/>
              <w:jc w:val="center"/>
            </w:pPr>
            <w:r>
              <w:rPr>
                <w:sz w:val="20"/>
              </w:rPr>
            </w:r>
          </w:p>
        </w:tc>
      </w:tr>
      <w:tr>
        <w:tc>
          <w:tcPr>
            <w:tcW w:w="794" w:type="dxa"/>
          </w:tcPr>
          <w:bookmarkStart w:id="142" w:name="P142"/>
          <w:bookmarkEnd w:id="142"/>
          <w:p>
            <w:pPr>
              <w:pStyle w:val="0"/>
            </w:pPr>
            <w:r>
              <w:rPr>
                <w:sz w:val="20"/>
              </w:rPr>
              <w:t xml:space="preserve">4.1.</w:t>
            </w:r>
          </w:p>
        </w:tc>
        <w:tc>
          <w:tcPr>
            <w:tcW w:w="6406" w:type="dxa"/>
          </w:tcPr>
          <w:p>
            <w:pPr>
              <w:pStyle w:val="0"/>
            </w:pPr>
            <w:r>
              <w:rPr>
                <w:sz w:val="20"/>
              </w:rPr>
              <w:t xml:space="preserve">до 100 л.с. (до 73,55 кВт) включительно</w:t>
            </w:r>
          </w:p>
        </w:tc>
        <w:tc>
          <w:tcPr>
            <w:tcW w:w="1871" w:type="dxa"/>
          </w:tcPr>
          <w:p>
            <w:pPr>
              <w:pStyle w:val="0"/>
              <w:jc w:val="center"/>
            </w:pPr>
            <w:r>
              <w:rPr>
                <w:sz w:val="20"/>
              </w:rPr>
              <w:t xml:space="preserve">25</w:t>
            </w:r>
          </w:p>
        </w:tc>
      </w:tr>
      <w:tr>
        <w:tc>
          <w:tcPr>
            <w:tcW w:w="794" w:type="dxa"/>
          </w:tcPr>
          <w:bookmarkStart w:id="145" w:name="P145"/>
          <w:bookmarkEnd w:id="145"/>
          <w:p>
            <w:pPr>
              <w:pStyle w:val="0"/>
            </w:pPr>
            <w:r>
              <w:rPr>
                <w:sz w:val="20"/>
              </w:rPr>
              <w:t xml:space="preserve">4.2.</w:t>
            </w:r>
          </w:p>
        </w:tc>
        <w:tc>
          <w:tcPr>
            <w:tcW w:w="6406" w:type="dxa"/>
          </w:tcPr>
          <w:p>
            <w:pPr>
              <w:pStyle w:val="0"/>
            </w:pPr>
            <w:r>
              <w:rPr>
                <w:sz w:val="20"/>
              </w:rPr>
              <w:t xml:space="preserve">свыше 100 л.с. до 150 л.с. (свыше 73,55 кВт до 110,33 кВт) включительно</w:t>
            </w:r>
          </w:p>
        </w:tc>
        <w:tc>
          <w:tcPr>
            <w:tcW w:w="1871" w:type="dxa"/>
          </w:tcPr>
          <w:p>
            <w:pPr>
              <w:pStyle w:val="0"/>
              <w:jc w:val="center"/>
            </w:pPr>
            <w:r>
              <w:rPr>
                <w:sz w:val="20"/>
              </w:rPr>
              <w:t xml:space="preserve">40</w:t>
            </w:r>
          </w:p>
        </w:tc>
      </w:tr>
      <w:tr>
        <w:tc>
          <w:tcPr>
            <w:tcW w:w="794" w:type="dxa"/>
          </w:tcPr>
          <w:p>
            <w:pPr>
              <w:pStyle w:val="0"/>
            </w:pPr>
            <w:r>
              <w:rPr>
                <w:sz w:val="20"/>
              </w:rPr>
              <w:t xml:space="preserve">4.3.</w:t>
            </w:r>
          </w:p>
        </w:tc>
        <w:tc>
          <w:tcPr>
            <w:tcW w:w="6406" w:type="dxa"/>
          </w:tcPr>
          <w:p>
            <w:pPr>
              <w:pStyle w:val="0"/>
            </w:pPr>
            <w:r>
              <w:rPr>
                <w:sz w:val="20"/>
              </w:rPr>
              <w:t xml:space="preserve">свыше 150 л.с. до 200 л.с. (свыше 110,33 кВт до 147,1 кВт) включительно</w:t>
            </w:r>
          </w:p>
        </w:tc>
        <w:tc>
          <w:tcPr>
            <w:tcW w:w="1871" w:type="dxa"/>
          </w:tcPr>
          <w:p>
            <w:pPr>
              <w:pStyle w:val="0"/>
              <w:jc w:val="center"/>
            </w:pPr>
            <w:r>
              <w:rPr>
                <w:sz w:val="20"/>
              </w:rPr>
              <w:t xml:space="preserve">50</w:t>
            </w:r>
          </w:p>
        </w:tc>
      </w:tr>
      <w:tr>
        <w:tc>
          <w:tcPr>
            <w:tcW w:w="794" w:type="dxa"/>
          </w:tcPr>
          <w:p>
            <w:pPr>
              <w:pStyle w:val="0"/>
            </w:pPr>
            <w:r>
              <w:rPr>
                <w:sz w:val="20"/>
              </w:rPr>
              <w:t xml:space="preserve">4.4.</w:t>
            </w:r>
          </w:p>
        </w:tc>
        <w:tc>
          <w:tcPr>
            <w:tcW w:w="6406" w:type="dxa"/>
          </w:tcPr>
          <w:p>
            <w:pPr>
              <w:pStyle w:val="0"/>
            </w:pPr>
            <w:r>
              <w:rPr>
                <w:sz w:val="20"/>
              </w:rPr>
              <w:t xml:space="preserve">свыше 200 л.с. до 250 л.с. (свыше 147,1 кВт до 183,9 кВт) включительно</w:t>
            </w:r>
          </w:p>
        </w:tc>
        <w:tc>
          <w:tcPr>
            <w:tcW w:w="1871" w:type="dxa"/>
          </w:tcPr>
          <w:p>
            <w:pPr>
              <w:pStyle w:val="0"/>
              <w:jc w:val="center"/>
            </w:pPr>
            <w:r>
              <w:rPr>
                <w:sz w:val="20"/>
              </w:rPr>
              <w:t xml:space="preserve">65</w:t>
            </w:r>
          </w:p>
        </w:tc>
      </w:tr>
      <w:tr>
        <w:tblPrEx>
          <w:tblBorders>
            <w:insideH w:val="nil"/>
          </w:tblBorders>
        </w:tblPrEx>
        <w:tc>
          <w:tcPr>
            <w:tcW w:w="794" w:type="dxa"/>
            <w:tcBorders>
              <w:bottom w:val="nil"/>
            </w:tcBorders>
          </w:tcPr>
          <w:p>
            <w:pPr>
              <w:pStyle w:val="0"/>
            </w:pPr>
            <w:r>
              <w:rPr>
                <w:sz w:val="20"/>
              </w:rPr>
              <w:t xml:space="preserve">4.5.</w:t>
            </w:r>
          </w:p>
        </w:tc>
        <w:tc>
          <w:tcPr>
            <w:tcW w:w="6406" w:type="dxa"/>
            <w:tcBorders>
              <w:bottom w:val="nil"/>
            </w:tcBorders>
          </w:tcPr>
          <w:p>
            <w:pPr>
              <w:pStyle w:val="0"/>
            </w:pPr>
            <w:r>
              <w:rPr>
                <w:sz w:val="20"/>
              </w:rPr>
              <w:t xml:space="preserve">свыше 250 л.с. (свыше 183,9 кВт)</w:t>
            </w:r>
          </w:p>
        </w:tc>
        <w:tc>
          <w:tcPr>
            <w:tcW w:w="1871" w:type="dxa"/>
            <w:tcBorders>
              <w:bottom w:val="nil"/>
            </w:tcBorders>
          </w:tcPr>
          <w:p>
            <w:pPr>
              <w:pStyle w:val="0"/>
              <w:jc w:val="center"/>
            </w:pPr>
            <w:r>
              <w:rPr>
                <w:sz w:val="20"/>
              </w:rPr>
              <w:t xml:space="preserve">85</w:t>
            </w:r>
          </w:p>
        </w:tc>
      </w:tr>
      <w:tr>
        <w:tblPrEx>
          <w:tblBorders>
            <w:insideH w:val="nil"/>
          </w:tblBorders>
        </w:tblPrEx>
        <w:tc>
          <w:tcPr>
            <w:gridSpan w:val="3"/>
            <w:tcW w:w="9071" w:type="dxa"/>
            <w:tcBorders>
              <w:top w:val="nil"/>
            </w:tcBorders>
          </w:tcPr>
          <w:p>
            <w:pPr>
              <w:pStyle w:val="0"/>
              <w:jc w:val="both"/>
            </w:pPr>
            <w:r>
              <w:rPr>
                <w:sz w:val="20"/>
              </w:rPr>
              <w:t xml:space="preserve">(пп. 4.5 в ред. </w:t>
            </w:r>
            <w:hyperlink w:history="0" r:id="rId110" w:tooltip="Закон Новосибирской области от 28.11.2013 N 388-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1.2013 N 388-ЗС) {КонсультантПлюс}">
              <w:r>
                <w:rPr>
                  <w:sz w:val="20"/>
                  <w:color w:val="0000ff"/>
                </w:rPr>
                <w:t xml:space="preserve">Закона</w:t>
              </w:r>
            </w:hyperlink>
            <w:r>
              <w:rPr>
                <w:sz w:val="20"/>
              </w:rPr>
              <w:t xml:space="preserve"> Новосибирской области от 28.11.2013 N 388-ОЗ)</w:t>
            </w:r>
          </w:p>
        </w:tc>
      </w:tr>
      <w:tr>
        <w:tblPrEx>
          <w:tblBorders>
            <w:insideH w:val="nil"/>
          </w:tblBorders>
        </w:tblPrEx>
        <w:tc>
          <w:tcPr>
            <w:tcW w:w="794" w:type="dxa"/>
            <w:tcBorders>
              <w:bottom w:val="nil"/>
            </w:tcBorders>
          </w:tcPr>
          <w:p>
            <w:pPr>
              <w:pStyle w:val="0"/>
              <w:jc w:val="both"/>
            </w:pPr>
            <w:r>
              <w:rPr>
                <w:sz w:val="20"/>
              </w:rPr>
              <w:t xml:space="preserve">4.6.</w:t>
            </w:r>
          </w:p>
        </w:tc>
        <w:tc>
          <w:tcPr>
            <w:gridSpan w:val="2"/>
            <w:tcW w:w="8277" w:type="dxa"/>
            <w:tcBorders>
              <w:bottom w:val="nil"/>
            </w:tcBorders>
          </w:tcPr>
          <w:p>
            <w:pPr>
              <w:pStyle w:val="0"/>
              <w:jc w:val="both"/>
            </w:pPr>
            <w:r>
              <w:rPr>
                <w:sz w:val="20"/>
              </w:rPr>
              <w:t xml:space="preserve">Утратил силу с 1 января 2014 года. - </w:t>
            </w:r>
            <w:hyperlink w:history="0" r:id="rId111" w:tooltip="Закон Новосибирской области от 28.11.2013 N 388-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1.2013 N 388-ЗС) {КонсультантПлюс}">
              <w:r>
                <w:rPr>
                  <w:sz w:val="20"/>
                  <w:color w:val="0000ff"/>
                </w:rPr>
                <w:t xml:space="preserve">Закон</w:t>
              </w:r>
            </w:hyperlink>
            <w:r>
              <w:rPr>
                <w:sz w:val="20"/>
              </w:rPr>
              <w:t xml:space="preserve"> Новосибирской области от 28.11.2013 N 388-ОЗ</w:t>
            </w:r>
          </w:p>
        </w:tc>
      </w:tr>
      <w:tr>
        <w:tc>
          <w:tcPr>
            <w:tcW w:w="794" w:type="dxa"/>
          </w:tcPr>
          <w:bookmarkStart w:id="160" w:name="P160"/>
          <w:bookmarkEnd w:id="160"/>
          <w:p>
            <w:pPr>
              <w:pStyle w:val="0"/>
            </w:pPr>
            <w:r>
              <w:rPr>
                <w:sz w:val="20"/>
              </w:rPr>
              <w:t xml:space="preserve">5.</w:t>
            </w:r>
          </w:p>
        </w:tc>
        <w:tc>
          <w:tcPr>
            <w:tcW w:w="6406" w:type="dxa"/>
          </w:tcPr>
          <w:p>
            <w:pPr>
              <w:pStyle w:val="0"/>
            </w:pPr>
            <w:r>
              <w:rPr>
                <w:sz w:val="20"/>
              </w:rPr>
              <w:t xml:space="preserve">Другие самоходные транспортные средства, машины и механизмы на пневматическом и гусеничном ходу (с каждой лошадиной силы)</w:t>
            </w:r>
          </w:p>
        </w:tc>
        <w:tc>
          <w:tcPr>
            <w:tcW w:w="1871" w:type="dxa"/>
          </w:tcPr>
          <w:p>
            <w:pPr>
              <w:pStyle w:val="0"/>
              <w:jc w:val="center"/>
            </w:pPr>
            <w:r>
              <w:rPr>
                <w:sz w:val="20"/>
              </w:rPr>
              <w:t xml:space="preserve">25</w:t>
            </w:r>
          </w:p>
        </w:tc>
      </w:tr>
      <w:tr>
        <w:tc>
          <w:tcPr>
            <w:tcW w:w="794" w:type="dxa"/>
          </w:tcPr>
          <w:p>
            <w:pPr>
              <w:pStyle w:val="0"/>
            </w:pPr>
            <w:r>
              <w:rPr>
                <w:sz w:val="20"/>
              </w:rPr>
              <w:t xml:space="preserve">6.</w:t>
            </w:r>
          </w:p>
        </w:tc>
        <w:tc>
          <w:tcPr>
            <w:tcW w:w="6406" w:type="dxa"/>
          </w:tcPr>
          <w:p>
            <w:pPr>
              <w:pStyle w:val="0"/>
            </w:pPr>
            <w:r>
              <w:rPr>
                <w:sz w:val="20"/>
              </w:rPr>
              <w:t xml:space="preserve">Снегоходы, мотосани с мощностью двигателя (с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p>
            <w:pPr>
              <w:pStyle w:val="0"/>
            </w:pPr>
            <w:r>
              <w:rPr>
                <w:sz w:val="20"/>
              </w:rPr>
              <w:t xml:space="preserve">6.1.</w:t>
            </w:r>
          </w:p>
        </w:tc>
        <w:tc>
          <w:tcPr>
            <w:tcW w:w="6406" w:type="dxa"/>
            <w:tcBorders>
              <w:bottom w:val="nil"/>
            </w:tcBorders>
          </w:tcPr>
          <w:p>
            <w:pPr>
              <w:pStyle w:val="0"/>
            </w:pPr>
            <w:r>
              <w:rPr>
                <w:sz w:val="20"/>
              </w:rPr>
              <w:t xml:space="preserve">до 50 л.с. (до 36,77 кВт) включительно</w:t>
            </w:r>
          </w:p>
        </w:tc>
        <w:tc>
          <w:tcPr>
            <w:tcW w:w="1871" w:type="dxa"/>
            <w:tcBorders>
              <w:bottom w:val="nil"/>
            </w:tcBorders>
          </w:tcPr>
          <w:p>
            <w:pPr>
              <w:pStyle w:val="0"/>
              <w:jc w:val="center"/>
            </w:pPr>
            <w:r>
              <w:rPr>
                <w:sz w:val="20"/>
              </w:rPr>
              <w:t xml:space="preserve">20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12"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13"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p>
            <w:pPr>
              <w:pStyle w:val="0"/>
            </w:pPr>
            <w:r>
              <w:rPr>
                <w:sz w:val="20"/>
              </w:rPr>
              <w:t xml:space="preserve">6.2.</w:t>
            </w:r>
          </w:p>
        </w:tc>
        <w:tc>
          <w:tcPr>
            <w:tcW w:w="6406" w:type="dxa"/>
            <w:tcBorders>
              <w:bottom w:val="nil"/>
            </w:tcBorders>
          </w:tcPr>
          <w:p>
            <w:pPr>
              <w:pStyle w:val="0"/>
            </w:pPr>
            <w:r>
              <w:rPr>
                <w:sz w:val="20"/>
              </w:rPr>
              <w:t xml:space="preserve">свыше 50 л.с. (свыше 36,77 кВт)</w:t>
            </w:r>
          </w:p>
        </w:tc>
        <w:tc>
          <w:tcPr>
            <w:tcW w:w="1871" w:type="dxa"/>
            <w:tcBorders>
              <w:bottom w:val="nil"/>
            </w:tcBorders>
          </w:tcPr>
          <w:p>
            <w:pPr>
              <w:pStyle w:val="0"/>
              <w:jc w:val="center"/>
            </w:pPr>
            <w:r>
              <w:rPr>
                <w:sz w:val="20"/>
              </w:rPr>
              <w:t xml:space="preserve">30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14"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15"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Pr>
          <w:p>
            <w:pPr>
              <w:pStyle w:val="0"/>
            </w:pPr>
            <w:r>
              <w:rPr>
                <w:sz w:val="20"/>
              </w:rPr>
              <w:t xml:space="preserve">7.</w:t>
            </w:r>
          </w:p>
        </w:tc>
        <w:tc>
          <w:tcPr>
            <w:tcW w:w="6406" w:type="dxa"/>
          </w:tcPr>
          <w:p>
            <w:pPr>
              <w:pStyle w:val="0"/>
            </w:pPr>
            <w:r>
              <w:rPr>
                <w:sz w:val="20"/>
              </w:rPr>
              <w:t xml:space="preserve">Катера, моторные лодки и другие водные транспортные средства с мощностью двигателя (с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p>
            <w:pPr>
              <w:pStyle w:val="0"/>
            </w:pPr>
            <w:r>
              <w:rPr>
                <w:sz w:val="20"/>
              </w:rPr>
              <w:t xml:space="preserve">7.1.</w:t>
            </w:r>
          </w:p>
        </w:tc>
        <w:tc>
          <w:tcPr>
            <w:tcW w:w="6406" w:type="dxa"/>
            <w:tcBorders>
              <w:bottom w:val="nil"/>
            </w:tcBorders>
          </w:tcPr>
          <w:p>
            <w:pPr>
              <w:pStyle w:val="0"/>
            </w:pPr>
            <w:r>
              <w:rPr>
                <w:sz w:val="20"/>
              </w:rPr>
              <w:t xml:space="preserve">до 100 л.с. (до 73,55 кВт) включительно</w:t>
            </w:r>
          </w:p>
        </w:tc>
        <w:tc>
          <w:tcPr>
            <w:tcW w:w="1871" w:type="dxa"/>
            <w:tcBorders>
              <w:bottom w:val="nil"/>
            </w:tcBorders>
          </w:tcPr>
          <w:p>
            <w:pPr>
              <w:pStyle w:val="0"/>
              <w:jc w:val="center"/>
            </w:pPr>
            <w:r>
              <w:rPr>
                <w:sz w:val="20"/>
              </w:rPr>
              <w:t xml:space="preserve">30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16"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17"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p>
            <w:pPr>
              <w:pStyle w:val="0"/>
            </w:pPr>
            <w:r>
              <w:rPr>
                <w:sz w:val="20"/>
              </w:rPr>
              <w:t xml:space="preserve">7.2.</w:t>
            </w:r>
          </w:p>
        </w:tc>
        <w:tc>
          <w:tcPr>
            <w:tcW w:w="6406" w:type="dxa"/>
            <w:tcBorders>
              <w:bottom w:val="nil"/>
            </w:tcBorders>
          </w:tcPr>
          <w:p>
            <w:pPr>
              <w:pStyle w:val="0"/>
            </w:pPr>
            <w:r>
              <w:rPr>
                <w:sz w:val="20"/>
              </w:rPr>
              <w:t xml:space="preserve">Свыше 100 л.с. (свыше 73,55 кВт)</w:t>
            </w:r>
          </w:p>
        </w:tc>
        <w:tc>
          <w:tcPr>
            <w:tcW w:w="1871" w:type="dxa"/>
            <w:tcBorders>
              <w:bottom w:val="nil"/>
            </w:tcBorders>
          </w:tcPr>
          <w:p>
            <w:pPr>
              <w:pStyle w:val="0"/>
              <w:jc w:val="center"/>
            </w:pPr>
            <w:r>
              <w:rPr>
                <w:sz w:val="20"/>
              </w:rPr>
              <w:t xml:space="preserve">75</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18"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19"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Pr>
          <w:p>
            <w:pPr>
              <w:pStyle w:val="0"/>
            </w:pPr>
            <w:r>
              <w:rPr>
                <w:sz w:val="20"/>
              </w:rPr>
              <w:t xml:space="preserve">8.</w:t>
            </w:r>
          </w:p>
        </w:tc>
        <w:tc>
          <w:tcPr>
            <w:tcW w:w="6406" w:type="dxa"/>
          </w:tcPr>
          <w:p>
            <w:pPr>
              <w:pStyle w:val="0"/>
            </w:pPr>
            <w:r>
              <w:rPr>
                <w:sz w:val="20"/>
              </w:rPr>
              <w:t xml:space="preserve">Яхты и другие парусно-моторные суда с мощностью двигателя (с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p>
            <w:pPr>
              <w:pStyle w:val="0"/>
            </w:pPr>
            <w:r>
              <w:rPr>
                <w:sz w:val="20"/>
              </w:rPr>
              <w:t xml:space="preserve">8.1.</w:t>
            </w:r>
          </w:p>
        </w:tc>
        <w:tc>
          <w:tcPr>
            <w:tcW w:w="6406" w:type="dxa"/>
            <w:tcBorders>
              <w:bottom w:val="nil"/>
            </w:tcBorders>
          </w:tcPr>
          <w:p>
            <w:pPr>
              <w:pStyle w:val="0"/>
            </w:pPr>
            <w:r>
              <w:rPr>
                <w:sz w:val="20"/>
              </w:rPr>
              <w:t xml:space="preserve">до 100 л.с. (до 73,55 кВт) включительно</w:t>
            </w:r>
          </w:p>
        </w:tc>
        <w:tc>
          <w:tcPr>
            <w:tcW w:w="1871" w:type="dxa"/>
            <w:tcBorders>
              <w:bottom w:val="nil"/>
            </w:tcBorders>
          </w:tcPr>
          <w:p>
            <w:pPr>
              <w:pStyle w:val="0"/>
              <w:jc w:val="center"/>
            </w:pPr>
            <w:r>
              <w:rPr>
                <w:sz w:val="20"/>
              </w:rPr>
              <w:t xml:space="preserve">200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20"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21"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p>
            <w:pPr>
              <w:pStyle w:val="0"/>
            </w:pPr>
            <w:r>
              <w:rPr>
                <w:sz w:val="20"/>
              </w:rPr>
              <w:t xml:space="preserve">8.2.</w:t>
            </w:r>
          </w:p>
        </w:tc>
        <w:tc>
          <w:tcPr>
            <w:tcW w:w="6406" w:type="dxa"/>
            <w:tcBorders>
              <w:bottom w:val="nil"/>
            </w:tcBorders>
          </w:tcPr>
          <w:p>
            <w:pPr>
              <w:pStyle w:val="0"/>
            </w:pPr>
            <w:r>
              <w:rPr>
                <w:sz w:val="20"/>
              </w:rPr>
              <w:t xml:space="preserve">свыше 100 л.с. (свыше 73,55 кВт)</w:t>
            </w:r>
          </w:p>
        </w:tc>
        <w:tc>
          <w:tcPr>
            <w:tcW w:w="1871" w:type="dxa"/>
            <w:tcBorders>
              <w:bottom w:val="nil"/>
            </w:tcBorders>
          </w:tcPr>
          <w:p>
            <w:pPr>
              <w:pStyle w:val="0"/>
              <w:jc w:val="center"/>
            </w:pPr>
            <w:r>
              <w:rPr>
                <w:sz w:val="20"/>
              </w:rPr>
              <w:t xml:space="preserve">400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22"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23"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c>
          <w:tcPr>
            <w:tcW w:w="794" w:type="dxa"/>
          </w:tcPr>
          <w:p>
            <w:pPr>
              <w:pStyle w:val="0"/>
            </w:pPr>
            <w:r>
              <w:rPr>
                <w:sz w:val="20"/>
              </w:rPr>
              <w:t xml:space="preserve">9.</w:t>
            </w:r>
          </w:p>
        </w:tc>
        <w:tc>
          <w:tcPr>
            <w:tcW w:w="6406" w:type="dxa"/>
          </w:tcPr>
          <w:p>
            <w:pPr>
              <w:pStyle w:val="0"/>
            </w:pPr>
            <w:r>
              <w:rPr>
                <w:sz w:val="20"/>
              </w:rPr>
              <w:t xml:space="preserve">Гидроциклы с мощностью двигателя</w:t>
            </w:r>
          </w:p>
          <w:p>
            <w:pPr>
              <w:pStyle w:val="0"/>
            </w:pPr>
            <w:r>
              <w:rPr>
                <w:sz w:val="20"/>
              </w:rPr>
              <w:t xml:space="preserve">(с каждой лошадиной силы):</w:t>
            </w:r>
          </w:p>
        </w:tc>
        <w:tc>
          <w:tcPr>
            <w:tcW w:w="1871" w:type="dxa"/>
          </w:tcPr>
          <w:p>
            <w:pPr>
              <w:pStyle w:val="0"/>
              <w:jc w:val="both"/>
            </w:pPr>
            <w:r>
              <w:rPr>
                <w:sz w:val="20"/>
              </w:rPr>
            </w:r>
          </w:p>
        </w:tc>
      </w:tr>
      <w:tr>
        <w:tblPrEx>
          <w:tblBorders>
            <w:insideH w:val="nil"/>
          </w:tblBorders>
        </w:tblPrEx>
        <w:tc>
          <w:tcPr>
            <w:tcW w:w="794" w:type="dxa"/>
            <w:tcBorders>
              <w:bottom w:val="nil"/>
            </w:tcBorders>
          </w:tcPr>
          <w:p>
            <w:pPr>
              <w:pStyle w:val="0"/>
            </w:pPr>
            <w:r>
              <w:rPr>
                <w:sz w:val="20"/>
              </w:rPr>
              <w:t xml:space="preserve">9.1.</w:t>
            </w:r>
          </w:p>
        </w:tc>
        <w:tc>
          <w:tcPr>
            <w:tcW w:w="6406" w:type="dxa"/>
            <w:tcBorders>
              <w:bottom w:val="nil"/>
            </w:tcBorders>
          </w:tcPr>
          <w:p>
            <w:pPr>
              <w:pStyle w:val="0"/>
            </w:pPr>
            <w:r>
              <w:rPr>
                <w:sz w:val="20"/>
              </w:rPr>
              <w:t xml:space="preserve">до 100 л.с. (до 73,55 кВт) включительно</w:t>
            </w:r>
          </w:p>
        </w:tc>
        <w:tc>
          <w:tcPr>
            <w:tcW w:w="1871"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24"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25"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p>
            <w:pPr>
              <w:pStyle w:val="0"/>
            </w:pPr>
            <w:r>
              <w:rPr>
                <w:sz w:val="20"/>
              </w:rPr>
              <w:t xml:space="preserve">9.2.</w:t>
            </w:r>
          </w:p>
        </w:tc>
        <w:tc>
          <w:tcPr>
            <w:tcW w:w="6406" w:type="dxa"/>
            <w:tcBorders>
              <w:bottom w:val="nil"/>
            </w:tcBorders>
          </w:tcPr>
          <w:p>
            <w:pPr>
              <w:pStyle w:val="0"/>
            </w:pPr>
            <w:r>
              <w:rPr>
                <w:sz w:val="20"/>
              </w:rPr>
              <w:t xml:space="preserve">свыше 100 л.с. (свыше 73,55 кВт)</w:t>
            </w:r>
          </w:p>
        </w:tc>
        <w:tc>
          <w:tcPr>
            <w:tcW w:w="1871" w:type="dxa"/>
            <w:tcBorders>
              <w:bottom w:val="nil"/>
            </w:tcBorders>
          </w:tcPr>
          <w:p>
            <w:pPr>
              <w:pStyle w:val="0"/>
              <w:jc w:val="center"/>
            </w:pPr>
            <w:r>
              <w:rPr>
                <w:sz w:val="20"/>
              </w:rPr>
              <w:t xml:space="preserve">150</w:t>
            </w:r>
          </w:p>
        </w:tc>
      </w:tr>
      <w:tr>
        <w:tblPrEx>
          <w:tblBorders>
            <w:insideH w:val="nil"/>
          </w:tblBorders>
        </w:tblPrEx>
        <w:tc>
          <w:tcPr>
            <w:gridSpan w:val="3"/>
            <w:tcW w:w="9071" w:type="dxa"/>
            <w:tcBorders>
              <w:top w:val="nil"/>
            </w:tcBorders>
          </w:tcPr>
          <w:p>
            <w:pPr>
              <w:pStyle w:val="0"/>
              <w:jc w:val="both"/>
            </w:pPr>
            <w:r>
              <w:rPr>
                <w:sz w:val="20"/>
              </w:rPr>
              <w:t xml:space="preserve">(в ред. Законов Новосибирской области от 19.10.2006 </w:t>
            </w:r>
            <w:hyperlink w:history="0" r:id="rId126"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N 31-ОЗ</w:t>
              </w:r>
            </w:hyperlink>
            <w:r>
              <w:rPr>
                <w:sz w:val="20"/>
              </w:rPr>
              <w:t xml:space="preserve">, от 02.11.2021 </w:t>
            </w:r>
            <w:hyperlink w:history="0" r:id="rId127"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N 133-ОЗ</w:t>
              </w:r>
            </w:hyperlink>
            <w:r>
              <w:rPr>
                <w:sz w:val="20"/>
              </w:rPr>
              <w:t xml:space="preserve">)</w:t>
            </w:r>
          </w:p>
        </w:tc>
      </w:tr>
      <w:tr>
        <w:tblPrEx>
          <w:tblBorders>
            <w:insideH w:val="nil"/>
          </w:tblBorders>
        </w:tblPrEx>
        <w:tc>
          <w:tcPr>
            <w:tcW w:w="794" w:type="dxa"/>
            <w:tcBorders>
              <w:bottom w:val="nil"/>
            </w:tcBorders>
          </w:tcPr>
          <w:p>
            <w:pPr>
              <w:pStyle w:val="0"/>
            </w:pPr>
            <w:r>
              <w:rPr>
                <w:sz w:val="20"/>
              </w:rPr>
              <w:t xml:space="preserve">10.</w:t>
            </w:r>
          </w:p>
        </w:tc>
        <w:tc>
          <w:tcPr>
            <w:tcW w:w="6406" w:type="dxa"/>
            <w:tcBorders>
              <w:bottom w:val="nil"/>
            </w:tcBorders>
          </w:tcPr>
          <w:p>
            <w:pPr>
              <w:pStyle w:val="0"/>
            </w:pPr>
            <w:r>
              <w:rPr>
                <w:sz w:val="20"/>
              </w:rPr>
              <w:t xml:space="preserve">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871" w:type="dxa"/>
            <w:tcBorders>
              <w:bottom w:val="nil"/>
            </w:tcBorders>
          </w:tcPr>
          <w:p>
            <w:pPr>
              <w:pStyle w:val="0"/>
              <w:jc w:val="center"/>
            </w:pPr>
            <w:r>
              <w:rPr>
                <w:sz w:val="20"/>
              </w:rPr>
              <w:t xml:space="preserve">100</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28" w:tooltip="Закон Новосибирской области от 28.11.2019 N 4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30-ЗС) {КонсультантПлюс}">
              <w:r>
                <w:rPr>
                  <w:sz w:val="20"/>
                  <w:color w:val="0000ff"/>
                </w:rPr>
                <w:t xml:space="preserve">Закона</w:t>
              </w:r>
            </w:hyperlink>
            <w:r>
              <w:rPr>
                <w:sz w:val="20"/>
              </w:rPr>
              <w:t xml:space="preserve"> Новосибирской области от 28.11.2019 N 430-ОЗ)</w:t>
            </w:r>
          </w:p>
        </w:tc>
      </w:tr>
      <w:tr>
        <w:tblPrEx>
          <w:tblBorders>
            <w:insideH w:val="nil"/>
          </w:tblBorders>
        </w:tblPrEx>
        <w:tc>
          <w:tcPr>
            <w:tcW w:w="794" w:type="dxa"/>
            <w:tcBorders>
              <w:bottom w:val="nil"/>
            </w:tcBorders>
          </w:tcPr>
          <w:p>
            <w:pPr>
              <w:pStyle w:val="0"/>
            </w:pPr>
            <w:r>
              <w:rPr>
                <w:sz w:val="20"/>
              </w:rPr>
              <w:t xml:space="preserve">11.</w:t>
            </w:r>
          </w:p>
        </w:tc>
        <w:tc>
          <w:tcPr>
            <w:tcW w:w="6406" w:type="dxa"/>
            <w:tcBorders>
              <w:bottom w:val="nil"/>
            </w:tcBorders>
          </w:tcPr>
          <w:p>
            <w:pPr>
              <w:pStyle w:val="0"/>
            </w:pPr>
            <w:r>
              <w:rPr>
                <w:sz w:val="20"/>
              </w:rPr>
              <w:t xml:space="preserve">Самолеты, вертолеты и иные воздушные</w:t>
            </w:r>
          </w:p>
          <w:p>
            <w:pPr>
              <w:pStyle w:val="0"/>
            </w:pPr>
            <w:r>
              <w:rPr>
                <w:sz w:val="20"/>
              </w:rPr>
              <w:t xml:space="preserve">суда, имеющие двигатели (с каждой лошадиной силы)</w:t>
            </w:r>
          </w:p>
        </w:tc>
        <w:tc>
          <w:tcPr>
            <w:tcW w:w="1871" w:type="dxa"/>
            <w:tcBorders>
              <w:bottom w:val="nil"/>
            </w:tcBorders>
          </w:tcPr>
          <w:p>
            <w:pPr>
              <w:pStyle w:val="0"/>
              <w:jc w:val="center"/>
            </w:pPr>
            <w:r>
              <w:rPr>
                <w:sz w:val="20"/>
              </w:rPr>
              <w:t xml:space="preserve">50</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29"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Закона</w:t>
              </w:r>
            </w:hyperlink>
            <w:r>
              <w:rPr>
                <w:sz w:val="20"/>
              </w:rPr>
              <w:t xml:space="preserve"> Новосибирской области от 02.11.2021 N 133-ОЗ)</w:t>
            </w:r>
          </w:p>
        </w:tc>
      </w:tr>
      <w:tr>
        <w:tblPrEx>
          <w:tblBorders>
            <w:insideH w:val="nil"/>
          </w:tblBorders>
        </w:tblPrEx>
        <w:tc>
          <w:tcPr>
            <w:tcW w:w="794" w:type="dxa"/>
            <w:tcBorders>
              <w:bottom w:val="nil"/>
            </w:tcBorders>
          </w:tcPr>
          <w:p>
            <w:pPr>
              <w:pStyle w:val="0"/>
            </w:pPr>
            <w:r>
              <w:rPr>
                <w:sz w:val="20"/>
              </w:rPr>
              <w:t xml:space="preserve">11.1.</w:t>
            </w:r>
          </w:p>
        </w:tc>
        <w:tc>
          <w:tcPr>
            <w:tcW w:w="6406" w:type="dxa"/>
            <w:tcBorders>
              <w:bottom w:val="nil"/>
            </w:tcBorders>
          </w:tcPr>
          <w:p>
            <w:pPr>
              <w:pStyle w:val="0"/>
            </w:pPr>
            <w:r>
              <w:rPr>
                <w:sz w:val="20"/>
              </w:rPr>
              <w:t xml:space="preserve">Самолеты, имеющие реактивные двигатели</w:t>
            </w:r>
          </w:p>
          <w:p>
            <w:pPr>
              <w:pStyle w:val="0"/>
            </w:pPr>
            <w:r>
              <w:rPr>
                <w:sz w:val="20"/>
              </w:rPr>
              <w:t xml:space="preserve">(с каждого килограмма силы тяги)</w:t>
            </w:r>
          </w:p>
        </w:tc>
        <w:tc>
          <w:tcPr>
            <w:tcW w:w="1871" w:type="dxa"/>
            <w:tcBorders>
              <w:bottom w:val="nil"/>
            </w:tcBorders>
          </w:tcPr>
          <w:p>
            <w:pPr>
              <w:pStyle w:val="0"/>
              <w:jc w:val="center"/>
            </w:pPr>
            <w:r>
              <w:rPr>
                <w:sz w:val="20"/>
              </w:rPr>
              <w:t xml:space="preserve">40</w:t>
            </w:r>
          </w:p>
        </w:tc>
      </w:tr>
      <w:tr>
        <w:tblPrEx>
          <w:tblBorders>
            <w:insideH w:val="nil"/>
          </w:tblBorders>
        </w:tblPrEx>
        <w:tc>
          <w:tcPr>
            <w:gridSpan w:val="3"/>
            <w:tcW w:w="9071" w:type="dxa"/>
            <w:tcBorders>
              <w:top w:val="nil"/>
            </w:tcBorders>
          </w:tcPr>
          <w:p>
            <w:pPr>
              <w:pStyle w:val="0"/>
              <w:jc w:val="both"/>
            </w:pPr>
            <w:r>
              <w:rPr>
                <w:sz w:val="20"/>
              </w:rPr>
              <w:t xml:space="preserve">(пп. 11.1 введен </w:t>
            </w:r>
            <w:hyperlink w:history="0" r:id="rId130"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Законом</w:t>
              </w:r>
            </w:hyperlink>
            <w:r>
              <w:rPr>
                <w:sz w:val="20"/>
              </w:rPr>
              <w:t xml:space="preserve"> Новосибирской области от 25.11.2004 N 235-ОЗ; в ред. </w:t>
            </w:r>
            <w:hyperlink w:history="0" r:id="rId131"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Закона</w:t>
              </w:r>
            </w:hyperlink>
            <w:r>
              <w:rPr>
                <w:sz w:val="20"/>
              </w:rPr>
              <w:t xml:space="preserve"> Новосибирской области от 02.11.2021 N 133-ОЗ)</w:t>
            </w:r>
          </w:p>
        </w:tc>
      </w:tr>
      <w:tr>
        <w:tblPrEx>
          <w:tblBorders>
            <w:insideH w:val="nil"/>
          </w:tblBorders>
        </w:tblPrEx>
        <w:tc>
          <w:tcPr>
            <w:tcW w:w="794" w:type="dxa"/>
            <w:tcBorders>
              <w:bottom w:val="nil"/>
            </w:tcBorders>
          </w:tcPr>
          <w:p>
            <w:pPr>
              <w:pStyle w:val="0"/>
            </w:pPr>
            <w:r>
              <w:rPr>
                <w:sz w:val="20"/>
              </w:rPr>
              <w:t xml:space="preserve">12.</w:t>
            </w:r>
          </w:p>
        </w:tc>
        <w:tc>
          <w:tcPr>
            <w:tcW w:w="6406" w:type="dxa"/>
            <w:tcBorders>
              <w:bottom w:val="nil"/>
            </w:tcBorders>
          </w:tcPr>
          <w:p>
            <w:pPr>
              <w:pStyle w:val="0"/>
            </w:pPr>
            <w:r>
              <w:rPr>
                <w:sz w:val="20"/>
              </w:rPr>
              <w:t xml:space="preserve">Другие водные и воздушные транспортные средства, не имеющие двигателей</w:t>
            </w:r>
          </w:p>
          <w:p>
            <w:pPr>
              <w:pStyle w:val="0"/>
            </w:pPr>
            <w:r>
              <w:rPr>
                <w:sz w:val="20"/>
              </w:rPr>
              <w:t xml:space="preserve">(с единицы транспортного средства)</w:t>
            </w:r>
          </w:p>
        </w:tc>
        <w:tc>
          <w:tcPr>
            <w:tcW w:w="1871" w:type="dxa"/>
            <w:tcBorders>
              <w:bottom w:val="nil"/>
            </w:tcBorders>
          </w:tcPr>
          <w:p>
            <w:pPr>
              <w:pStyle w:val="0"/>
              <w:jc w:val="center"/>
            </w:pPr>
            <w:r>
              <w:rPr>
                <w:sz w:val="20"/>
              </w:rPr>
              <w:t xml:space="preserve">1100</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132" w:tooltip="Закон Новосибирской области от 02.11.2021 N 133-ОЗ &quot;О внесении изменений в статью 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3-ЗС) {КонсультантПлюс}">
              <w:r>
                <w:rPr>
                  <w:sz w:val="20"/>
                  <w:color w:val="0000ff"/>
                </w:rPr>
                <w:t xml:space="preserve">Закона</w:t>
              </w:r>
            </w:hyperlink>
            <w:r>
              <w:rPr>
                <w:sz w:val="20"/>
              </w:rPr>
              <w:t xml:space="preserve"> Новосибирской области от 02.11.2021 N 133-ОЗ)</w:t>
            </w:r>
          </w:p>
        </w:tc>
      </w:tr>
    </w:tbl>
    <w:p>
      <w:pPr>
        <w:pStyle w:val="0"/>
        <w:ind w:firstLine="540"/>
        <w:jc w:val="both"/>
      </w:pPr>
      <w:r>
        <w:rPr>
          <w:sz w:val="20"/>
        </w:rPr>
      </w:r>
    </w:p>
    <w:p>
      <w:pPr>
        <w:pStyle w:val="2"/>
        <w:outlineLvl w:val="3"/>
        <w:ind w:firstLine="540"/>
        <w:jc w:val="both"/>
      </w:pPr>
      <w:r>
        <w:rPr>
          <w:sz w:val="20"/>
        </w:rPr>
        <w:t xml:space="preserve">Статья 2.3. Порядок уплаты транспортного налога</w:t>
      </w:r>
    </w:p>
    <w:p>
      <w:pPr>
        <w:pStyle w:val="0"/>
        <w:ind w:firstLine="540"/>
        <w:jc w:val="both"/>
      </w:pPr>
      <w:r>
        <w:rPr>
          <w:sz w:val="20"/>
        </w:rPr>
        <w:t xml:space="preserve">(в ред. </w:t>
      </w:r>
      <w:hyperlink w:history="0" r:id="rId133" w:tooltip="Закон Новосибирской области от 28.11.2019 N 4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30-ЗС) {КонсультантПлюс}">
        <w:r>
          <w:rPr>
            <w:sz w:val="20"/>
            <w:color w:val="0000ff"/>
          </w:rPr>
          <w:t xml:space="preserve">Закона</w:t>
        </w:r>
      </w:hyperlink>
      <w:r>
        <w:rPr>
          <w:sz w:val="20"/>
        </w:rPr>
        <w:t xml:space="preserve"> Новосибирской области от 28.11.2019 N 430-ОЗ)</w:t>
      </w:r>
    </w:p>
    <w:p>
      <w:pPr>
        <w:pStyle w:val="0"/>
        <w:ind w:firstLine="540"/>
        <w:jc w:val="both"/>
      </w:pPr>
      <w:r>
        <w:rPr>
          <w:sz w:val="20"/>
        </w:rPr>
      </w:r>
    </w:p>
    <w:p>
      <w:pPr>
        <w:pStyle w:val="0"/>
        <w:ind w:firstLine="540"/>
        <w:jc w:val="both"/>
      </w:pPr>
      <w:r>
        <w:rPr>
          <w:sz w:val="20"/>
        </w:rPr>
        <w:t xml:space="preserve">Перечисление суммы транспортного налога и авансовых платежей по транспортному налогу осуществляется налогоплательщиком-организацией на казначейский счет для осуществления и отражения операций по учету и распределению поступлений, открытый территориальному органу Федерального казначейства.</w:t>
      </w:r>
    </w:p>
    <w:p>
      <w:pPr>
        <w:pStyle w:val="0"/>
        <w:jc w:val="both"/>
      </w:pPr>
      <w:r>
        <w:rPr>
          <w:sz w:val="20"/>
        </w:rPr>
        <w:t xml:space="preserve">(в ред. Законов Новосибирской области от 02.11.2021 </w:t>
      </w:r>
      <w:hyperlink w:history="0" r:id="rId134"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N 129-ОЗ</w:t>
        </w:r>
      </w:hyperlink>
      <w:r>
        <w:rPr>
          <w:sz w:val="20"/>
        </w:rPr>
        <w:t xml:space="preserve">, от 06.05.2022 </w:t>
      </w:r>
      <w:hyperlink w:history="0" r:id="rId135" w:tooltip="Закон Новосибирской области от 06.05.2022 N 205-ОЗ &quot;О внесении изменений в статьи 2.3 и 4.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4.2022 N 205-ЗС) {КонсультантПлюс}">
        <w:r>
          <w:rPr>
            <w:sz w:val="20"/>
            <w:color w:val="0000ff"/>
          </w:rPr>
          <w:t xml:space="preserve">N 205-ОЗ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2.4 в редакции </w:t>
            </w:r>
            <w:hyperlink w:history="0" r:id="rId136" w:tooltip="Закон Новосибирской области от 05.10.2021 N 107-ОЗ &quot;О внесении изменений в статью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7-ЗС) {КонсультантПлюс}">
              <w:r>
                <w:rPr>
                  <w:sz w:val="20"/>
                  <w:color w:val="0000ff"/>
                </w:rPr>
                <w:t xml:space="preserve">Закона</w:t>
              </w:r>
            </w:hyperlink>
            <w:r>
              <w:rPr>
                <w:sz w:val="20"/>
                <w:color w:val="392c69"/>
              </w:rPr>
              <w:t xml:space="preserve"> Новосибирской области от 05.10.2021 N 107-ОЗ </w:t>
            </w:r>
            <w:hyperlink w:history="0" r:id="rId137" w:tooltip="Закон Новосибирской области от 05.10.2021 N 107-ОЗ &quot;О внесении изменений в статью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7-ЗС) {КонсультантПлюс}">
              <w:r>
                <w:rPr>
                  <w:sz w:val="20"/>
                  <w:color w:val="0000ff"/>
                </w:rPr>
                <w:t xml:space="preserve">действуют</w:t>
              </w:r>
            </w:hyperlink>
            <w:r>
              <w:rPr>
                <w:sz w:val="20"/>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2.4. Налоговые льготы по транспортному налогу, основания и порядок их применения налогоплательщиками</w:t>
      </w:r>
    </w:p>
    <w:p>
      <w:pPr>
        <w:pStyle w:val="0"/>
        <w:jc w:val="both"/>
      </w:pPr>
      <w:r>
        <w:rPr>
          <w:sz w:val="20"/>
        </w:rPr>
        <w:t xml:space="preserve">(в ред. </w:t>
      </w:r>
      <w:hyperlink w:history="0" r:id="rId138"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Закона</w:t>
        </w:r>
      </w:hyperlink>
      <w:r>
        <w:rPr>
          <w:sz w:val="20"/>
        </w:rPr>
        <w:t xml:space="preserve"> Новосибирской области от 02.11.2021 N 129-ОЗ)</w:t>
      </w:r>
    </w:p>
    <w:p>
      <w:pPr>
        <w:pStyle w:val="0"/>
        <w:ind w:firstLine="540"/>
        <w:jc w:val="both"/>
      </w:pPr>
      <w:r>
        <w:rPr>
          <w:sz w:val="20"/>
        </w:rPr>
        <w:t xml:space="preserve">(в ред. </w:t>
      </w:r>
      <w:hyperlink w:history="0" r:id="rId139" w:tooltip="Закон Новосибирской области от 04.07.2012 N 240-ОЗ &quot;О внесении изменений в статьи 2.1 и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6.2012 N 240-ЗС) {КонсультантПлюс}">
        <w:r>
          <w:rPr>
            <w:sz w:val="20"/>
            <w:color w:val="0000ff"/>
          </w:rPr>
          <w:t xml:space="preserve">Закона</w:t>
        </w:r>
      </w:hyperlink>
      <w:r>
        <w:rPr>
          <w:sz w:val="20"/>
        </w:rPr>
        <w:t xml:space="preserve"> Новосибирской области от 04.07.2012 N 240-ОЗ)</w:t>
      </w:r>
    </w:p>
    <w:p>
      <w:pPr>
        <w:pStyle w:val="0"/>
        <w:jc w:val="both"/>
      </w:pPr>
      <w:r>
        <w:rPr>
          <w:sz w:val="20"/>
        </w:rPr>
      </w:r>
    </w:p>
    <w:p>
      <w:pPr>
        <w:pStyle w:val="0"/>
        <w:ind w:firstLine="540"/>
        <w:jc w:val="both"/>
      </w:pPr>
      <w:r>
        <w:rPr>
          <w:sz w:val="20"/>
        </w:rPr>
        <w:t xml:space="preserve">1. Устанавливаются следующие налоговые льготы по транспортному налогу:</w:t>
      </w:r>
    </w:p>
    <w:p>
      <w:pPr>
        <w:pStyle w:val="0"/>
        <w:spacing w:before="200" w:line-rule="auto"/>
        <w:ind w:firstLine="540"/>
        <w:jc w:val="both"/>
      </w:pPr>
      <w:r>
        <w:rPr>
          <w:sz w:val="20"/>
        </w:rPr>
        <w:t xml:space="preserve">1) освобождаются от налогообложения:</w:t>
      </w:r>
    </w:p>
    <w:p>
      <w:pPr>
        <w:pStyle w:val="0"/>
        <w:spacing w:before="200" w:line-rule="auto"/>
        <w:ind w:firstLine="540"/>
        <w:jc w:val="both"/>
      </w:pPr>
      <w:r>
        <w:rPr>
          <w:sz w:val="20"/>
        </w:rPr>
        <w:t xml:space="preserve">а) в отношении объектов налогообложения, предусмотренных </w:t>
      </w:r>
      <w:hyperlink w:history="0" w:anchor="P75" w:tooltip="1.1.">
        <w:r>
          <w:rPr>
            <w:sz w:val="20"/>
            <w:color w:val="0000ff"/>
          </w:rPr>
          <w:t xml:space="preserve">подпунктами 1.1</w:t>
        </w:r>
      </w:hyperlink>
      <w:r>
        <w:rPr>
          <w:sz w:val="20"/>
        </w:rPr>
        <w:t xml:space="preserve">, </w:t>
      </w:r>
      <w:hyperlink w:history="0" w:anchor="P79" w:tooltip="1.2.">
        <w:r>
          <w:rPr>
            <w:sz w:val="20"/>
            <w:color w:val="0000ff"/>
          </w:rPr>
          <w:t xml:space="preserve">1.2 пункта 1</w:t>
        </w:r>
      </w:hyperlink>
      <w:r>
        <w:rPr>
          <w:sz w:val="20"/>
        </w:rPr>
        <w:t xml:space="preserve">, </w:t>
      </w:r>
      <w:hyperlink w:history="0" w:anchor="P113" w:tooltip="2.">
        <w:r>
          <w:rPr>
            <w:sz w:val="20"/>
            <w:color w:val="0000ff"/>
          </w:rPr>
          <w:t xml:space="preserve">пунктом 2</w:t>
        </w:r>
      </w:hyperlink>
      <w:r>
        <w:rPr>
          <w:sz w:val="20"/>
        </w:rPr>
        <w:t xml:space="preserve"> и </w:t>
      </w:r>
      <w:hyperlink w:history="0" w:anchor="P160" w:tooltip="5.">
        <w:r>
          <w:rPr>
            <w:sz w:val="20"/>
            <w:color w:val="0000ff"/>
          </w:rPr>
          <w:t xml:space="preserve">пунктом 5 статьи 2.2</w:t>
        </w:r>
      </w:hyperlink>
      <w:r>
        <w:rPr>
          <w:sz w:val="20"/>
        </w:rPr>
        <w:t xml:space="preserve"> настоящего Закона, - следующие категории налогоплательщиков:</w:t>
      </w:r>
    </w:p>
    <w:p>
      <w:pPr>
        <w:pStyle w:val="0"/>
        <w:spacing w:before="200" w:line-rule="auto"/>
        <w:ind w:firstLine="540"/>
        <w:jc w:val="both"/>
      </w:pPr>
      <w:r>
        <w:rPr>
          <w:sz w:val="20"/>
        </w:rPr>
        <w:t xml:space="preserve">участники Великой Отечественной войны;</w:t>
      </w:r>
    </w:p>
    <w:p>
      <w:pPr>
        <w:pStyle w:val="0"/>
        <w:spacing w:before="200" w:line-rule="auto"/>
        <w:ind w:firstLine="540"/>
        <w:jc w:val="both"/>
      </w:pPr>
      <w:r>
        <w:rPr>
          <w:sz w:val="20"/>
        </w:rPr>
        <w:t xml:space="preserve">инвалиды Великой Отечественной войны;</w:t>
      </w:r>
    </w:p>
    <w:p>
      <w:pPr>
        <w:pStyle w:val="0"/>
        <w:spacing w:before="200" w:line-rule="auto"/>
        <w:ind w:firstLine="540"/>
        <w:jc w:val="both"/>
      </w:pPr>
      <w:r>
        <w:rPr>
          <w:sz w:val="20"/>
        </w:rPr>
        <w:t xml:space="preserve">инвалиды боевых действий;</w:t>
      </w:r>
    </w:p>
    <w:p>
      <w:pPr>
        <w:pStyle w:val="0"/>
        <w:spacing w:before="200" w:line-rule="auto"/>
        <w:ind w:firstLine="540"/>
        <w:jc w:val="both"/>
      </w:pPr>
      <w:r>
        <w:rPr>
          <w:sz w:val="20"/>
        </w:rPr>
        <w:t xml:space="preserve">ветераны боевых действий;</w:t>
      </w:r>
    </w:p>
    <w:p>
      <w:pPr>
        <w:pStyle w:val="0"/>
        <w:spacing w:before="200" w:line-rule="auto"/>
        <w:ind w:firstLine="540"/>
        <w:jc w:val="both"/>
      </w:pPr>
      <w:r>
        <w:rPr>
          <w:sz w:val="20"/>
        </w:rPr>
        <w:t xml:space="preserve">граждане, подвергшиеся воздействию радиации вследствие катастрофы на Чернобыльской АЭС;</w:t>
      </w:r>
    </w:p>
    <w:p>
      <w:pPr>
        <w:pStyle w:val="0"/>
        <w:spacing w:before="200" w:line-rule="auto"/>
        <w:ind w:firstLine="540"/>
        <w:jc w:val="both"/>
      </w:pPr>
      <w:r>
        <w:rPr>
          <w:sz w:val="20"/>
        </w:rPr>
        <w:t xml:space="preserve">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pPr>
        <w:pStyle w:val="0"/>
        <w:spacing w:before="200" w:line-rule="auto"/>
        <w:ind w:firstLine="540"/>
        <w:jc w:val="both"/>
      </w:pPr>
      <w:r>
        <w:rPr>
          <w:sz w:val="20"/>
        </w:rPr>
        <w:t xml:space="preserve">граждане, подвергшиеся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организаций независимо от их организационно-правовых форм до окончания обучения, но не более чем до достижения ими возраста 23 лет;</w:t>
      </w:r>
    </w:p>
    <w:p>
      <w:pPr>
        <w:pStyle w:val="0"/>
        <w:jc w:val="both"/>
      </w:pPr>
      <w:r>
        <w:rPr>
          <w:sz w:val="20"/>
        </w:rPr>
        <w:t xml:space="preserve">(в ред. </w:t>
      </w:r>
      <w:hyperlink w:history="0" r:id="rId140" w:tooltip="Закон Новосибирской области от 01.07.2019 N 39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9 N 390-ЗС) {КонсультантПлюс}">
        <w:r>
          <w:rPr>
            <w:sz w:val="20"/>
            <w:color w:val="0000ff"/>
          </w:rPr>
          <w:t xml:space="preserve">Закона</w:t>
        </w:r>
      </w:hyperlink>
      <w:r>
        <w:rPr>
          <w:sz w:val="20"/>
        </w:rPr>
        <w:t xml:space="preserve"> Новосибирской области от 01.07.2019 N 390-ОЗ)</w:t>
      </w:r>
    </w:p>
    <w:p>
      <w:pPr>
        <w:pStyle w:val="0"/>
        <w:spacing w:before="200" w:line-rule="auto"/>
        <w:ind w:firstLine="540"/>
        <w:jc w:val="both"/>
      </w:pPr>
      <w:r>
        <w:rPr>
          <w:sz w:val="20"/>
        </w:rPr>
        <w:t xml:space="preserve">б) в отношении объектов налогообложения, предусмотренных </w:t>
      </w:r>
      <w:hyperlink w:history="0" w:anchor="P116" w:tooltip="2.1.">
        <w:r>
          <w:rPr>
            <w:sz w:val="20"/>
            <w:color w:val="0000ff"/>
          </w:rPr>
          <w:t xml:space="preserve">подпунктами 2.1</w:t>
        </w:r>
      </w:hyperlink>
      <w:r>
        <w:rPr>
          <w:sz w:val="20"/>
        </w:rPr>
        <w:t xml:space="preserve">, </w:t>
      </w:r>
      <w:hyperlink w:history="0" w:anchor="P120" w:tooltip="2.2.">
        <w:r>
          <w:rPr>
            <w:sz w:val="20"/>
            <w:color w:val="0000ff"/>
          </w:rPr>
          <w:t xml:space="preserve">2.2</w:t>
        </w:r>
      </w:hyperlink>
      <w:r>
        <w:rPr>
          <w:sz w:val="20"/>
        </w:rPr>
        <w:t xml:space="preserve"> и </w:t>
      </w:r>
      <w:hyperlink w:history="0" w:anchor="P124" w:tooltip="2.3.">
        <w:r>
          <w:rPr>
            <w:sz w:val="20"/>
            <w:color w:val="0000ff"/>
          </w:rPr>
          <w:t xml:space="preserve">2.3 пункта 2 статьи 2.2</w:t>
        </w:r>
      </w:hyperlink>
      <w:r>
        <w:rPr>
          <w:sz w:val="20"/>
        </w:rPr>
        <w:t xml:space="preserve"> настоящего Закона, - следующие категории налогоплательщиков:</w:t>
      </w:r>
    </w:p>
    <w:p>
      <w:pPr>
        <w:pStyle w:val="0"/>
        <w:spacing w:before="200" w:line-rule="auto"/>
        <w:ind w:firstLine="540"/>
        <w:jc w:val="both"/>
      </w:pPr>
      <w:r>
        <w:rPr>
          <w:sz w:val="20"/>
        </w:rPr>
        <w:t xml:space="preserve">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pPr>
        <w:pStyle w:val="0"/>
        <w:spacing w:before="200" w:line-rule="auto"/>
        <w:ind w:firstLine="540"/>
        <w:jc w:val="both"/>
      </w:pPr>
      <w:r>
        <w:rPr>
          <w:sz w:val="20"/>
        </w:rPr>
        <w:t xml:space="preserve">инвалиды (за исключением инвалидов Великой Отечественной войны и инвалидов боевых действий);</w:t>
      </w:r>
    </w:p>
    <w:p>
      <w:pPr>
        <w:pStyle w:val="0"/>
        <w:spacing w:before="200" w:line-rule="auto"/>
        <w:ind w:firstLine="540"/>
        <w:jc w:val="both"/>
      </w:pPr>
      <w:r>
        <w:rPr>
          <w:sz w:val="20"/>
        </w:rPr>
        <w:t xml:space="preserve">пенсионеры по выслуге лет или инвалидности - бывшие военнослужащие (женщины - по достижении 55 лет, мужчины - по достижении 60 лет);</w:t>
      </w:r>
    </w:p>
    <w:p>
      <w:pPr>
        <w:pStyle w:val="0"/>
        <w:spacing w:before="200" w:line-rule="auto"/>
        <w:ind w:firstLine="540"/>
        <w:jc w:val="both"/>
      </w:pPr>
      <w:r>
        <w:rPr>
          <w:sz w:val="20"/>
        </w:rPr>
        <w:t xml:space="preserve">один из родителей (усыновителей, опекунов, попечителей), на иждивении которого находится ребенок-инвалид;</w:t>
      </w:r>
    </w:p>
    <w:bookmarkStart w:id="257" w:name="P257"/>
    <w:bookmarkEnd w:id="257"/>
    <w:p>
      <w:pPr>
        <w:pStyle w:val="0"/>
        <w:spacing w:before="200" w:line-rule="auto"/>
        <w:ind w:firstLine="540"/>
        <w:jc w:val="both"/>
      </w:pPr>
      <w:r>
        <w:rPr>
          <w:sz w:val="20"/>
        </w:rPr>
        <w:t xml:space="preserve">в) в отношении объектов налогообложения, предусмотренных </w:t>
      </w:r>
      <w:hyperlink w:history="0" w:anchor="P130" w:tooltip="3.">
        <w:r>
          <w:rPr>
            <w:sz w:val="20"/>
            <w:color w:val="0000ff"/>
          </w:rPr>
          <w:t xml:space="preserve">пунктами 3</w:t>
        </w:r>
      </w:hyperlink>
      <w:r>
        <w:rPr>
          <w:sz w:val="20"/>
        </w:rPr>
        <w:t xml:space="preserve"> - </w:t>
      </w:r>
      <w:hyperlink w:history="0" w:anchor="P160" w:tooltip="5.">
        <w:r>
          <w:rPr>
            <w:sz w:val="20"/>
            <w:color w:val="0000ff"/>
          </w:rPr>
          <w:t xml:space="preserve">5 статьи 2.2</w:t>
        </w:r>
      </w:hyperlink>
      <w:r>
        <w:rPr>
          <w:sz w:val="20"/>
        </w:rPr>
        <w:t xml:space="preserve"> настоящего Закона, - индивидуальные предприниматели и организации, являющиеся сельскохозяйственными товаропроизводителями;</w:t>
      </w:r>
    </w:p>
    <w:bookmarkStart w:id="258" w:name="P258"/>
    <w:bookmarkEnd w:id="258"/>
    <w:p>
      <w:pPr>
        <w:pStyle w:val="0"/>
        <w:spacing w:before="200" w:line-rule="auto"/>
        <w:ind w:firstLine="540"/>
        <w:jc w:val="both"/>
      </w:pPr>
      <w:r>
        <w:rPr>
          <w:sz w:val="20"/>
        </w:rPr>
        <w:t xml:space="preserve">г) в отношении объектов налогообложения, предусмотренных </w:t>
      </w:r>
      <w:hyperlink w:history="0" w:anchor="P72" w:tooltip="1.">
        <w:r>
          <w:rPr>
            <w:sz w:val="20"/>
            <w:color w:val="0000ff"/>
          </w:rPr>
          <w:t xml:space="preserve">пунктом 1 статьи 2.2</w:t>
        </w:r>
      </w:hyperlink>
      <w:r>
        <w:rPr>
          <w:sz w:val="20"/>
        </w:rPr>
        <w:t xml:space="preserve"> настоящего Закона и являющихся электромобилями, - физические лица и организации;</w:t>
      </w:r>
    </w:p>
    <w:p>
      <w:pPr>
        <w:pStyle w:val="0"/>
        <w:jc w:val="both"/>
      </w:pPr>
      <w:r>
        <w:rPr>
          <w:sz w:val="20"/>
        </w:rPr>
        <w:t xml:space="preserve">(пп. "г" введен </w:t>
      </w:r>
      <w:hyperlink w:history="0" r:id="rId141" w:tooltip="Закон Новосибирской области от 05.10.2021 N 107-ОЗ &quot;О внесении изменений в статью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7-ЗС) {КонсультантПлюс}">
        <w:r>
          <w:rPr>
            <w:sz w:val="20"/>
            <w:color w:val="0000ff"/>
          </w:rPr>
          <w:t xml:space="preserve">Законом</w:t>
        </w:r>
      </w:hyperlink>
      <w:r>
        <w:rPr>
          <w:sz w:val="20"/>
        </w:rPr>
        <w:t xml:space="preserve"> Новосибирской области от 05.10.2021 N 107-ОЗ)</w:t>
      </w:r>
    </w:p>
    <w:bookmarkStart w:id="260" w:name="P260"/>
    <w:bookmarkEnd w:id="260"/>
    <w:p>
      <w:pPr>
        <w:pStyle w:val="0"/>
        <w:spacing w:before="200" w:line-rule="auto"/>
        <w:ind w:firstLine="540"/>
        <w:jc w:val="both"/>
      </w:pPr>
      <w:r>
        <w:rPr>
          <w:sz w:val="20"/>
        </w:rPr>
        <w:t xml:space="preserve">д) в отношении объектов налогообложения, предусмотренных </w:t>
      </w:r>
      <w:hyperlink w:history="0" w:anchor="P75" w:tooltip="1.1.">
        <w:r>
          <w:rPr>
            <w:sz w:val="20"/>
            <w:color w:val="0000ff"/>
          </w:rPr>
          <w:t xml:space="preserve">подпунктами 1.1</w:t>
        </w:r>
      </w:hyperlink>
      <w:r>
        <w:rPr>
          <w:sz w:val="20"/>
        </w:rPr>
        <w:t xml:space="preserve">, </w:t>
      </w:r>
      <w:hyperlink w:history="0" w:anchor="P79" w:tooltip="1.2.">
        <w:r>
          <w:rPr>
            <w:sz w:val="20"/>
            <w:color w:val="0000ff"/>
          </w:rPr>
          <w:t xml:space="preserve">1.2 пункта 1 статьи 2.2</w:t>
        </w:r>
      </w:hyperlink>
      <w:r>
        <w:rPr>
          <w:sz w:val="20"/>
        </w:rPr>
        <w:t xml:space="preserve"> настоящего Закона, - социально ориентированные некоммерческие организации, состоящие в одном из следующих реестров: реестр некоммерческих организаций - исполнителей общественно полезных услуг, государственный реестр социально ориентированных некоммерческих организаций - получателей государственной поддержки в Новосибирской области, реестр поставщиков социальных услуг Новосибирской области, в отношении транспортных средств, используемых ими для осуществления уставной деятельности;</w:t>
      </w:r>
    </w:p>
    <w:p>
      <w:pPr>
        <w:pStyle w:val="0"/>
        <w:jc w:val="both"/>
      </w:pPr>
      <w:r>
        <w:rPr>
          <w:sz w:val="20"/>
        </w:rPr>
        <w:t xml:space="preserve">(пп. "д" введен </w:t>
      </w:r>
      <w:hyperlink w:history="0" r:id="rId142" w:tooltip="Закон Новосибирской области от 05.10.2021 N 108-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8-ЗС) {КонсультантПлюс}">
        <w:r>
          <w:rPr>
            <w:sz w:val="20"/>
            <w:color w:val="0000ff"/>
          </w:rPr>
          <w:t xml:space="preserve">Законом</w:t>
        </w:r>
      </w:hyperlink>
      <w:r>
        <w:rPr>
          <w:sz w:val="20"/>
        </w:rPr>
        <w:t xml:space="preserve"> Новосибирской области от 05.10.2021 N 108-ОЗ)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Абз. "е" пп. 1 п. 1 ст. 2.4, введенный </w:t>
            </w:r>
            <w:hyperlink w:history="0" r:id="rId143"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color w:val="392c69"/>
              </w:rPr>
              <w:t xml:space="preserve"> Новосибирской области от 12.03.2024 N 424-ОЗ, </w:t>
            </w:r>
            <w:hyperlink w:history="0" r:id="rId144"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 w:name="P263"/>
    <w:bookmarkEnd w:id="263"/>
    <w:p>
      <w:pPr>
        <w:pStyle w:val="0"/>
        <w:spacing w:before="260" w:line-rule="auto"/>
        <w:ind w:firstLine="540"/>
        <w:jc w:val="both"/>
      </w:pPr>
      <w:r>
        <w:rPr>
          <w:sz w:val="20"/>
        </w:rPr>
        <w:t xml:space="preserve">е) в отношении объектов налогообложения, предусмотренных </w:t>
      </w:r>
      <w:hyperlink w:history="0" w:anchor="P75" w:tooltip="1.1.">
        <w:r>
          <w:rPr>
            <w:sz w:val="20"/>
            <w:color w:val="0000ff"/>
          </w:rPr>
          <w:t xml:space="preserve">подпунктами 1.1</w:t>
        </w:r>
      </w:hyperlink>
      <w:r>
        <w:rPr>
          <w:sz w:val="20"/>
        </w:rPr>
        <w:t xml:space="preserve">, </w:t>
      </w:r>
      <w:hyperlink w:history="0" w:anchor="P79" w:tooltip="1.2.">
        <w:r>
          <w:rPr>
            <w:sz w:val="20"/>
            <w:color w:val="0000ff"/>
          </w:rPr>
          <w:t xml:space="preserve">1.2 пункта 1</w:t>
        </w:r>
      </w:hyperlink>
      <w:r>
        <w:rPr>
          <w:sz w:val="20"/>
        </w:rPr>
        <w:t xml:space="preserve">, </w:t>
      </w:r>
      <w:hyperlink w:history="0" w:anchor="P113" w:tooltip="2.">
        <w:r>
          <w:rPr>
            <w:sz w:val="20"/>
            <w:color w:val="0000ff"/>
          </w:rPr>
          <w:t xml:space="preserve">пунктами 2</w:t>
        </w:r>
      </w:hyperlink>
      <w:r>
        <w:rPr>
          <w:sz w:val="20"/>
        </w:rPr>
        <w:t xml:space="preserve"> - </w:t>
      </w:r>
      <w:hyperlink w:history="0" w:anchor="P160" w:tooltip="5.">
        <w:r>
          <w:rPr>
            <w:sz w:val="20"/>
            <w:color w:val="0000ff"/>
          </w:rPr>
          <w:t xml:space="preserve">5 статьи 2.2</w:t>
        </w:r>
      </w:hyperlink>
      <w:r>
        <w:rPr>
          <w:sz w:val="20"/>
        </w:rPr>
        <w:t xml:space="preserve"> настоящего Закона, - организации, основным видом экономической деятельности которых является деятельность, относящаяся к видам экономической деятельности "деятельность почтовой связи общего пользования" Общероссийского </w:t>
      </w:r>
      <w:hyperlink w:history="0" r:id="rId145"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ОК 029-2014 (КДЕС Ред. 2), при условии оказания услуг по доставке и (или) выплате пенсий и пособий;</w:t>
      </w:r>
    </w:p>
    <w:p>
      <w:pPr>
        <w:pStyle w:val="0"/>
        <w:jc w:val="both"/>
      </w:pPr>
      <w:r>
        <w:rPr>
          <w:sz w:val="20"/>
        </w:rPr>
        <w:t xml:space="preserve">(пп. "е" введен </w:t>
      </w:r>
      <w:hyperlink w:history="0" r:id="rId146"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rPr>
        <w:t xml:space="preserve"> Новосибирской области от 12.03.2024 N 424-ОЗ)</w:t>
      </w:r>
    </w:p>
    <w:p>
      <w:pPr>
        <w:pStyle w:val="0"/>
        <w:jc w:val="both"/>
      </w:pPr>
      <w:r>
        <w:rPr>
          <w:sz w:val="20"/>
        </w:rPr>
        <w:t xml:space="preserve">(пп. 1 в ред. </w:t>
      </w:r>
      <w:hyperlink w:history="0" r:id="rId147"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Закона</w:t>
        </w:r>
      </w:hyperlink>
      <w:r>
        <w:rPr>
          <w:sz w:val="20"/>
        </w:rPr>
        <w:t xml:space="preserve"> Новосибирской области от 30.11.2018 N 305-ОЗ)</w:t>
      </w:r>
    </w:p>
    <w:p>
      <w:pPr>
        <w:pStyle w:val="0"/>
        <w:spacing w:before="200" w:line-rule="auto"/>
        <w:ind w:firstLine="540"/>
        <w:jc w:val="both"/>
      </w:pPr>
      <w:r>
        <w:rPr>
          <w:sz w:val="20"/>
        </w:rPr>
        <w:t xml:space="preserve">2) транспортный налог уплачивают в размере 5% от установленной налоговой ставки в отношении объектов налогообложения, предусмотренных </w:t>
      </w:r>
      <w:hyperlink w:history="0" w:anchor="P160" w:tooltip="5.">
        <w:r>
          <w:rPr>
            <w:sz w:val="20"/>
            <w:color w:val="0000ff"/>
          </w:rPr>
          <w:t xml:space="preserve">пунктом 5 статьи 2.2</w:t>
        </w:r>
      </w:hyperlink>
      <w:r>
        <w:rPr>
          <w:sz w:val="20"/>
        </w:rPr>
        <w:t xml:space="preserve"> настоящего Закона, - следующие категории налогоплательщиков:</w:t>
      </w:r>
    </w:p>
    <w:p>
      <w:pPr>
        <w:pStyle w:val="0"/>
        <w:spacing w:before="200" w:line-rule="auto"/>
        <w:ind w:firstLine="540"/>
        <w:jc w:val="both"/>
      </w:pPr>
      <w:r>
        <w:rPr>
          <w:sz w:val="20"/>
        </w:rPr>
        <w:t xml:space="preserve">а) 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pPr>
        <w:pStyle w:val="0"/>
        <w:spacing w:before="200" w:line-rule="auto"/>
        <w:ind w:firstLine="540"/>
        <w:jc w:val="both"/>
      </w:pPr>
      <w:r>
        <w:rPr>
          <w:sz w:val="20"/>
        </w:rPr>
        <w:t xml:space="preserve">б) инвалиды (за исключением инвалидов Великой Отечественной войны и инвалидов боевых действий);</w:t>
      </w:r>
    </w:p>
    <w:p>
      <w:pPr>
        <w:pStyle w:val="0"/>
        <w:spacing w:before="200" w:line-rule="auto"/>
        <w:ind w:firstLine="540"/>
        <w:jc w:val="both"/>
      </w:pPr>
      <w:r>
        <w:rPr>
          <w:sz w:val="20"/>
        </w:rPr>
        <w:t xml:space="preserve">в) пенсионеры по выслуге лет или инвалидности - бывшие военнослужащие (женщины - по достижении 55 лет, мужчины - по достижении 60 лет);</w:t>
      </w:r>
    </w:p>
    <w:p>
      <w:pPr>
        <w:pStyle w:val="0"/>
        <w:jc w:val="both"/>
      </w:pPr>
      <w:r>
        <w:rPr>
          <w:sz w:val="20"/>
        </w:rPr>
        <w:t xml:space="preserve">(пп. 2 в ред. </w:t>
      </w:r>
      <w:hyperlink w:history="0" r:id="rId148" w:tooltip="Закон Новосибирской области от 02.10.2018 N 289-ОЗ (ред. от 01.07.2019) &quot;О внесении изменений в отдельные законы Новосибирской области&quot; (принят постановлением Законодательного Собрания Новосибирской области от 27.09.2018 N 289-ЗС) {КонсультантПлюс}">
        <w:r>
          <w:rPr>
            <w:sz w:val="20"/>
            <w:color w:val="0000ff"/>
          </w:rPr>
          <w:t xml:space="preserve">Закона</w:t>
        </w:r>
      </w:hyperlink>
      <w:r>
        <w:rPr>
          <w:sz w:val="20"/>
        </w:rPr>
        <w:t xml:space="preserve"> Новосибирской области от 02.10.2018 N 289-ОЗ)</w:t>
      </w:r>
    </w:p>
    <w:p>
      <w:pPr>
        <w:pStyle w:val="0"/>
        <w:spacing w:before="200" w:line-rule="auto"/>
        <w:ind w:firstLine="540"/>
        <w:jc w:val="both"/>
      </w:pPr>
      <w:r>
        <w:rPr>
          <w:sz w:val="20"/>
        </w:rPr>
        <w:t xml:space="preserve">3) транспортный налог уплачивают в размере 20%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spacing w:before="200" w:line-rule="auto"/>
        <w:ind w:firstLine="540"/>
        <w:jc w:val="both"/>
      </w:pPr>
      <w:r>
        <w:rPr>
          <w:sz w:val="20"/>
        </w:rPr>
        <w:t xml:space="preserve">а) в отношении объектов налогообложения, предусмотренных </w:t>
      </w:r>
      <w:hyperlink w:history="0" w:anchor="P75" w:tooltip="1.1.">
        <w:r>
          <w:rPr>
            <w:sz w:val="20"/>
            <w:color w:val="0000ff"/>
          </w:rPr>
          <w:t xml:space="preserve">подпунктами 1.1</w:t>
        </w:r>
      </w:hyperlink>
      <w:r>
        <w:rPr>
          <w:sz w:val="20"/>
        </w:rPr>
        <w:t xml:space="preserve"> и </w:t>
      </w:r>
      <w:hyperlink w:history="0" w:anchor="P79" w:tooltip="1.2.">
        <w:r>
          <w:rPr>
            <w:sz w:val="20"/>
            <w:color w:val="0000ff"/>
          </w:rPr>
          <w:t xml:space="preserve">1.2 пункта 1 статьи 2.2</w:t>
        </w:r>
      </w:hyperlink>
      <w:r>
        <w:rPr>
          <w:sz w:val="20"/>
        </w:rPr>
        <w:t xml:space="preserve"> настоящего Закона, - следующие категории налогоплательщиков:</w:t>
      </w:r>
    </w:p>
    <w:p>
      <w:pPr>
        <w:pStyle w:val="0"/>
        <w:spacing w:before="200" w:line-rule="auto"/>
        <w:ind w:firstLine="540"/>
        <w:jc w:val="both"/>
      </w:pPr>
      <w:r>
        <w:rPr>
          <w:sz w:val="20"/>
        </w:rPr>
        <w:t xml:space="preserve">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pPr>
        <w:pStyle w:val="0"/>
        <w:spacing w:before="200" w:line-rule="auto"/>
        <w:ind w:firstLine="540"/>
        <w:jc w:val="both"/>
      </w:pPr>
      <w:r>
        <w:rPr>
          <w:sz w:val="20"/>
        </w:rPr>
        <w:t xml:space="preserve">инвалиды (за исключением инвалидов Великой Отечественной войны и инвалидов боевых действий);</w:t>
      </w:r>
    </w:p>
    <w:p>
      <w:pPr>
        <w:pStyle w:val="0"/>
        <w:spacing w:before="200" w:line-rule="auto"/>
        <w:ind w:firstLine="540"/>
        <w:jc w:val="both"/>
      </w:pPr>
      <w:r>
        <w:rPr>
          <w:sz w:val="20"/>
        </w:rPr>
        <w:t xml:space="preserve">пенсионеры по выслуге лет или инвалидности - бывшие военнослужащие (женщины - по достижении 55 лет, мужчины - по достижении 60 лет);</w:t>
      </w:r>
    </w:p>
    <w:p>
      <w:pPr>
        <w:pStyle w:val="0"/>
        <w:spacing w:before="200" w:line-rule="auto"/>
        <w:ind w:firstLine="540"/>
        <w:jc w:val="both"/>
      </w:pPr>
      <w:r>
        <w:rPr>
          <w:sz w:val="20"/>
        </w:rPr>
        <w:t xml:space="preserve">один из родителей (усыновителей, опекунов, попечителей), на иждивении которого находится ребенок-инвалид;</w:t>
      </w:r>
    </w:p>
    <w:p>
      <w:pPr>
        <w:pStyle w:val="0"/>
        <w:spacing w:before="200" w:line-rule="auto"/>
        <w:ind w:firstLine="540"/>
        <w:jc w:val="both"/>
      </w:pPr>
      <w:r>
        <w:rPr>
          <w:sz w:val="20"/>
        </w:rPr>
        <w:t xml:space="preserve">б) в отношении объектов налогообложения, предусмотренных </w:t>
      </w:r>
      <w:hyperlink w:history="0" w:anchor="P142" w:tooltip="4.1.">
        <w:r>
          <w:rPr>
            <w:sz w:val="20"/>
            <w:color w:val="0000ff"/>
          </w:rPr>
          <w:t xml:space="preserve">подпунктами 4.1</w:t>
        </w:r>
      </w:hyperlink>
      <w:r>
        <w:rPr>
          <w:sz w:val="20"/>
        </w:rPr>
        <w:t xml:space="preserve">, </w:t>
      </w:r>
      <w:hyperlink w:history="0" w:anchor="P145" w:tooltip="4.2.">
        <w:r>
          <w:rPr>
            <w:sz w:val="20"/>
            <w:color w:val="0000ff"/>
          </w:rPr>
          <w:t xml:space="preserve">4.2 пункта 4 статьи 2.2</w:t>
        </w:r>
      </w:hyperlink>
      <w:r>
        <w:rPr>
          <w:sz w:val="20"/>
        </w:rPr>
        <w:t xml:space="preserve"> настоящего Закона, - следующие категории налогоплательщиков:</w:t>
      </w:r>
    </w:p>
    <w:p>
      <w:pPr>
        <w:pStyle w:val="0"/>
        <w:spacing w:before="200" w:line-rule="auto"/>
        <w:ind w:firstLine="540"/>
        <w:jc w:val="both"/>
      </w:pPr>
      <w:r>
        <w:rPr>
          <w:sz w:val="20"/>
        </w:rPr>
        <w:t xml:space="preserve">участники Великой Отечественной войны;</w:t>
      </w:r>
    </w:p>
    <w:p>
      <w:pPr>
        <w:pStyle w:val="0"/>
        <w:spacing w:before="200" w:line-rule="auto"/>
        <w:ind w:firstLine="540"/>
        <w:jc w:val="both"/>
      </w:pPr>
      <w:r>
        <w:rPr>
          <w:sz w:val="20"/>
        </w:rPr>
        <w:t xml:space="preserve">инвалиды Великой Отечественной войны;</w:t>
      </w:r>
    </w:p>
    <w:p>
      <w:pPr>
        <w:pStyle w:val="0"/>
        <w:spacing w:before="200" w:line-rule="auto"/>
        <w:ind w:firstLine="540"/>
        <w:jc w:val="both"/>
      </w:pPr>
      <w:r>
        <w:rPr>
          <w:sz w:val="20"/>
        </w:rPr>
        <w:t xml:space="preserve">инвалиды боевых действий;</w:t>
      </w:r>
    </w:p>
    <w:p>
      <w:pPr>
        <w:pStyle w:val="0"/>
        <w:spacing w:before="200" w:line-rule="auto"/>
        <w:ind w:firstLine="540"/>
        <w:jc w:val="both"/>
      </w:pPr>
      <w:r>
        <w:rPr>
          <w:sz w:val="20"/>
        </w:rPr>
        <w:t xml:space="preserve">ветераны боевых действий;</w:t>
      </w:r>
    </w:p>
    <w:p>
      <w:pPr>
        <w:pStyle w:val="0"/>
        <w:spacing w:before="200" w:line-rule="auto"/>
        <w:ind w:firstLine="540"/>
        <w:jc w:val="both"/>
      </w:pPr>
      <w:r>
        <w:rPr>
          <w:sz w:val="20"/>
        </w:rPr>
        <w:t xml:space="preserve">граждане по достижении возраста 55 лет для женщин и 60 лет для мужчин, а граждане, которым назначена страховая пенсия по старости ранее указанного возраста, - с момента назначения такой пенсии;</w:t>
      </w:r>
    </w:p>
    <w:p>
      <w:pPr>
        <w:pStyle w:val="0"/>
        <w:spacing w:before="200" w:line-rule="auto"/>
        <w:ind w:firstLine="540"/>
        <w:jc w:val="both"/>
      </w:pPr>
      <w:r>
        <w:rPr>
          <w:sz w:val="20"/>
        </w:rPr>
        <w:t xml:space="preserve">инвалиды (за исключением инвалидов Великой Отечественной войны и инвалидов боевых действий);</w:t>
      </w:r>
    </w:p>
    <w:p>
      <w:pPr>
        <w:pStyle w:val="0"/>
        <w:spacing w:before="200" w:line-rule="auto"/>
        <w:ind w:firstLine="540"/>
        <w:jc w:val="both"/>
      </w:pPr>
      <w:r>
        <w:rPr>
          <w:sz w:val="20"/>
        </w:rPr>
        <w:t xml:space="preserve">пенсионеры по выслуге лет или инвалидности - бывшие военнослужащие (женщины - по достижении 55 лет, мужчины - по достижении 60 лет);</w:t>
      </w:r>
    </w:p>
    <w:p>
      <w:pPr>
        <w:pStyle w:val="0"/>
        <w:spacing w:before="200" w:line-rule="auto"/>
        <w:ind w:firstLine="540"/>
        <w:jc w:val="both"/>
      </w:pPr>
      <w:r>
        <w:rPr>
          <w:sz w:val="20"/>
        </w:rPr>
        <w:t xml:space="preserve">граждане, подвергшиеся воздействию радиации вследствие катастрофы на Чернобыльской АЭС;</w:t>
      </w:r>
    </w:p>
    <w:p>
      <w:pPr>
        <w:pStyle w:val="0"/>
        <w:spacing w:before="200" w:line-rule="auto"/>
        <w:ind w:firstLine="540"/>
        <w:jc w:val="both"/>
      </w:pPr>
      <w:r>
        <w:rPr>
          <w:sz w:val="20"/>
        </w:rPr>
        <w:t xml:space="preserve">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pPr>
        <w:pStyle w:val="0"/>
        <w:spacing w:before="200" w:line-rule="auto"/>
        <w:ind w:firstLine="540"/>
        <w:jc w:val="both"/>
      </w:pPr>
      <w:r>
        <w:rPr>
          <w:sz w:val="20"/>
        </w:rPr>
        <w:t xml:space="preserve">граждане, подвергшиеся радиационному воздействию вследствие ядерных испытаний на Семипалатинском полигоне;</w:t>
      </w:r>
    </w:p>
    <w:p>
      <w:pPr>
        <w:pStyle w:val="0"/>
        <w:spacing w:before="200" w:line-rule="auto"/>
        <w:ind w:firstLine="540"/>
        <w:jc w:val="both"/>
      </w:pPr>
      <w:r>
        <w:rPr>
          <w:sz w:val="20"/>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один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учреждений независимо от их организационно-правовых форм до окончания обучения, но не более чем до достижения ими возраста 23 лет;</w:t>
      </w:r>
    </w:p>
    <w:p>
      <w:pPr>
        <w:pStyle w:val="0"/>
        <w:jc w:val="both"/>
      </w:pPr>
      <w:r>
        <w:rPr>
          <w:sz w:val="20"/>
        </w:rPr>
        <w:t xml:space="preserve">(пп. 3 в ред. </w:t>
      </w:r>
      <w:hyperlink w:history="0" r:id="rId149"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Закона</w:t>
        </w:r>
      </w:hyperlink>
      <w:r>
        <w:rPr>
          <w:sz w:val="20"/>
        </w:rPr>
        <w:t xml:space="preserve"> Новосибирской области от 30.11.2018 N 305-ОЗ)</w:t>
      </w:r>
    </w:p>
    <w:bookmarkStart w:id="291" w:name="P291"/>
    <w:bookmarkEnd w:id="291"/>
    <w:p>
      <w:pPr>
        <w:pStyle w:val="0"/>
        <w:spacing w:before="200" w:line-rule="auto"/>
        <w:ind w:firstLine="540"/>
        <w:jc w:val="both"/>
      </w:pPr>
      <w:r>
        <w:rPr>
          <w:sz w:val="20"/>
        </w:rPr>
        <w:t xml:space="preserve">4) транспортный налог уплачивают в размере 10%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bookmarkStart w:id="292" w:name="P292"/>
    <w:bookmarkEnd w:id="292"/>
    <w:p>
      <w:pPr>
        <w:pStyle w:val="0"/>
        <w:spacing w:before="200" w:line-rule="auto"/>
        <w:ind w:firstLine="540"/>
        <w:jc w:val="both"/>
      </w:pPr>
      <w:r>
        <w:rPr>
          <w:sz w:val="20"/>
        </w:rPr>
        <w:t xml:space="preserve">а) в отношении объектов налогообложения, предусмотренных </w:t>
      </w:r>
      <w:hyperlink w:history="0" w:anchor="P130" w:tooltip="3.">
        <w:r>
          <w:rPr>
            <w:sz w:val="20"/>
            <w:color w:val="0000ff"/>
          </w:rPr>
          <w:t xml:space="preserve">пунктом 3 статьи 2.2</w:t>
        </w:r>
      </w:hyperlink>
      <w:r>
        <w:rPr>
          <w:sz w:val="20"/>
        </w:rPr>
        <w:t xml:space="preserve"> настоящего Закона, использующих природный газ в качестве моторного топлива, - физические лица, зарегистрированные в качестве индивидуальных предпринимателей, и организации,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w:t>
      </w:r>
      <w:hyperlink w:history="0" r:id="rId150" w:tooltip="Закон Новосибирской области от 05.05.2016 N 55-ОЗ (ред. от 04.10.2023) &quot;Об отдельных вопросах организации транспортного обслуживания населения на территории Новосибирской области&quot; (принят постановлением Законодательного Собрания Новосибирской области от 27.04.2016 N 55-ЗС) (с изм. и доп., вступающими в силу с 01.03.2024) {КонсультантПлюс}">
        <w:r>
          <w:rPr>
            <w:sz w:val="20"/>
            <w:color w:val="0000ff"/>
          </w:rPr>
          <w:t xml:space="preserve">Законом</w:t>
        </w:r>
      </w:hyperlink>
      <w:r>
        <w:rPr>
          <w:sz w:val="20"/>
        </w:rPr>
        <w:t xml:space="preserve"> Новосибирской области от 5 мая 2016 года N 55-ОЗ "Об отдельных вопросах организации транспортного обслуживания населения на территории Новосибирской области";</w:t>
      </w:r>
    </w:p>
    <w:p>
      <w:pPr>
        <w:pStyle w:val="0"/>
        <w:jc w:val="both"/>
      </w:pPr>
      <w:r>
        <w:rPr>
          <w:sz w:val="20"/>
        </w:rPr>
        <w:t xml:space="preserve">(в ред. </w:t>
      </w:r>
      <w:hyperlink w:history="0" r:id="rId151"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Закона</w:t>
        </w:r>
      </w:hyperlink>
      <w:r>
        <w:rPr>
          <w:sz w:val="20"/>
        </w:rPr>
        <w:t xml:space="preserve"> Новосибирской области от 30.11.2018 N 305-ОЗ)</w:t>
      </w:r>
    </w:p>
    <w:p>
      <w:pPr>
        <w:pStyle w:val="0"/>
        <w:spacing w:before="200" w:line-rule="auto"/>
        <w:ind w:firstLine="540"/>
        <w:jc w:val="both"/>
      </w:pPr>
      <w:r>
        <w:rPr>
          <w:sz w:val="20"/>
        </w:rPr>
        <w:t xml:space="preserve">б) в отношении объектов налогообложения, предусмотренных </w:t>
      </w:r>
      <w:hyperlink w:history="0" w:anchor="P139" w:tooltip="4.">
        <w:r>
          <w:rPr>
            <w:sz w:val="20"/>
            <w:color w:val="0000ff"/>
          </w:rPr>
          <w:t xml:space="preserve">пунктами 4</w:t>
        </w:r>
      </w:hyperlink>
      <w:r>
        <w:rPr>
          <w:sz w:val="20"/>
        </w:rPr>
        <w:t xml:space="preserve"> и </w:t>
      </w:r>
      <w:hyperlink w:history="0" w:anchor="P160" w:tooltip="5.">
        <w:r>
          <w:rPr>
            <w:sz w:val="20"/>
            <w:color w:val="0000ff"/>
          </w:rPr>
          <w:t xml:space="preserve">5 статьи 2.2</w:t>
        </w:r>
      </w:hyperlink>
      <w:r>
        <w:rPr>
          <w:sz w:val="20"/>
        </w:rPr>
        <w:t xml:space="preserve"> настоящего Закона, использующих природный газ в качестве моторного топлива, - организации, признаваемые плательщиками транспортного налога в соответствии со </w:t>
      </w:r>
      <w:hyperlink w:history="0" r:id="rId152"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статьей 357</w:t>
        </w:r>
      </w:hyperlink>
      <w:r>
        <w:rPr>
          <w:sz w:val="20"/>
        </w:rPr>
        <w:t xml:space="preserve"> Налогового кодекса Российской Федерации;</w:t>
      </w:r>
    </w:p>
    <w:p>
      <w:pPr>
        <w:pStyle w:val="0"/>
        <w:jc w:val="both"/>
      </w:pPr>
      <w:r>
        <w:rPr>
          <w:sz w:val="20"/>
        </w:rPr>
        <w:t xml:space="preserve">(пп. 4 введен </w:t>
      </w:r>
      <w:hyperlink w:history="0" r:id="rId153"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Законом</w:t>
        </w:r>
      </w:hyperlink>
      <w:r>
        <w:rPr>
          <w:sz w:val="20"/>
        </w:rPr>
        <w:t xml:space="preserve"> Новосибирской области от 31.10.2014 N 475-ОЗ)</w:t>
      </w:r>
    </w:p>
    <w:bookmarkStart w:id="296" w:name="P296"/>
    <w:bookmarkEnd w:id="296"/>
    <w:p>
      <w:pPr>
        <w:pStyle w:val="0"/>
        <w:spacing w:before="200" w:line-rule="auto"/>
        <w:ind w:firstLine="540"/>
        <w:jc w:val="both"/>
      </w:pPr>
      <w:r>
        <w:rPr>
          <w:sz w:val="20"/>
        </w:rPr>
        <w:t xml:space="preserve">5) транспортный налог уплачивается общественными организациями инвалидов в отношении транспортных средств, используемых для осуществления их уставной деятельности, в следующих размерах:</w:t>
      </w:r>
    </w:p>
    <w:p>
      <w:pPr>
        <w:pStyle w:val="0"/>
        <w:spacing w:before="200" w:line-rule="auto"/>
        <w:ind w:firstLine="540"/>
        <w:jc w:val="both"/>
      </w:pPr>
      <w:r>
        <w:rPr>
          <w:sz w:val="20"/>
        </w:rPr>
        <w:t xml:space="preserve">а) в отношении объектов налогообложения, предусмотренных </w:t>
      </w:r>
      <w:hyperlink w:history="0" w:anchor="P75" w:tooltip="1.1.">
        <w:r>
          <w:rPr>
            <w:sz w:val="20"/>
            <w:color w:val="0000ff"/>
          </w:rPr>
          <w:t xml:space="preserve">подпунктом 1.1 пункта 1 статьи 2.2</w:t>
        </w:r>
      </w:hyperlink>
      <w:r>
        <w:rPr>
          <w:sz w:val="20"/>
        </w:rPr>
        <w:t xml:space="preserve">, - в размере 40%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spacing w:before="200" w:line-rule="auto"/>
        <w:ind w:firstLine="540"/>
        <w:jc w:val="both"/>
      </w:pPr>
      <w:r>
        <w:rPr>
          <w:sz w:val="20"/>
        </w:rPr>
        <w:t xml:space="preserve">б) в отношении объектов налогообложения, предусмотренных </w:t>
      </w:r>
      <w:hyperlink w:history="0" w:anchor="P79" w:tooltip="1.2.">
        <w:r>
          <w:rPr>
            <w:sz w:val="20"/>
            <w:color w:val="0000ff"/>
          </w:rPr>
          <w:t xml:space="preserve">подпунктом 1.2 пункта 1 статьи 2.2</w:t>
        </w:r>
      </w:hyperlink>
      <w:r>
        <w:rPr>
          <w:sz w:val="20"/>
        </w:rPr>
        <w:t xml:space="preserve">, - в размере 35%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spacing w:before="200" w:line-rule="auto"/>
        <w:ind w:firstLine="540"/>
        <w:jc w:val="both"/>
      </w:pPr>
      <w:r>
        <w:rPr>
          <w:sz w:val="20"/>
        </w:rPr>
        <w:t xml:space="preserve">в) в отношении объектов налогообложения, предусмотренных </w:t>
      </w:r>
      <w:hyperlink w:history="0" w:anchor="P116" w:tooltip="2.1.">
        <w:r>
          <w:rPr>
            <w:sz w:val="20"/>
            <w:color w:val="0000ff"/>
          </w:rPr>
          <w:t xml:space="preserve">подпунктом 2.1 пункта 2 статьи 2.2</w:t>
        </w:r>
      </w:hyperlink>
      <w:r>
        <w:rPr>
          <w:sz w:val="20"/>
        </w:rPr>
        <w:t xml:space="preserve">, - в размере 50%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spacing w:before="200" w:line-rule="auto"/>
        <w:ind w:firstLine="540"/>
        <w:jc w:val="both"/>
      </w:pPr>
      <w:r>
        <w:rPr>
          <w:sz w:val="20"/>
        </w:rPr>
        <w:t xml:space="preserve">г) в отношении объектов налогообложения, предусмотренных </w:t>
      </w:r>
      <w:hyperlink w:history="0" w:anchor="P120" w:tooltip="2.2.">
        <w:r>
          <w:rPr>
            <w:sz w:val="20"/>
            <w:color w:val="0000ff"/>
          </w:rPr>
          <w:t xml:space="preserve">подпунктом 2.2 пункта 2 статьи 2.2</w:t>
        </w:r>
      </w:hyperlink>
      <w:r>
        <w:rPr>
          <w:sz w:val="20"/>
        </w:rPr>
        <w:t xml:space="preserve">, - в размере 60%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spacing w:before="200" w:line-rule="auto"/>
        <w:ind w:firstLine="540"/>
        <w:jc w:val="both"/>
      </w:pPr>
      <w:r>
        <w:rPr>
          <w:sz w:val="20"/>
        </w:rPr>
        <w:t xml:space="preserve">д) в отношении объектов налогообложения, предусмотренных </w:t>
      </w:r>
      <w:hyperlink w:history="0" w:anchor="P133" w:tooltip="3.1.">
        <w:r>
          <w:rPr>
            <w:sz w:val="20"/>
            <w:color w:val="0000ff"/>
          </w:rPr>
          <w:t xml:space="preserve">подпунктом 3.1 пункта 3 статьи 2.2</w:t>
        </w:r>
      </w:hyperlink>
      <w:r>
        <w:rPr>
          <w:sz w:val="20"/>
        </w:rPr>
        <w:t xml:space="preserve">, - в размере 10% от установленных </w:t>
      </w:r>
      <w:hyperlink w:history="0" w:anchor="P65" w:tooltip="Статья 2.2. Налоговые ставки">
        <w:r>
          <w:rPr>
            <w:sz w:val="20"/>
            <w:color w:val="0000ff"/>
          </w:rPr>
          <w:t xml:space="preserve">статьей 2.2</w:t>
        </w:r>
      </w:hyperlink>
      <w:r>
        <w:rPr>
          <w:sz w:val="20"/>
        </w:rPr>
        <w:t xml:space="preserve"> настоящего Закона налоговых ставок.</w:t>
      </w:r>
    </w:p>
    <w:p>
      <w:pPr>
        <w:pStyle w:val="0"/>
        <w:jc w:val="both"/>
      </w:pPr>
      <w:r>
        <w:rPr>
          <w:sz w:val="20"/>
        </w:rPr>
        <w:t xml:space="preserve">(пп. 5 введен </w:t>
      </w:r>
      <w:hyperlink w:history="0" r:id="rId154"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Законом</w:t>
        </w:r>
      </w:hyperlink>
      <w:r>
        <w:rPr>
          <w:sz w:val="20"/>
        </w:rPr>
        <w:t xml:space="preserve"> Новосибирской области от 30.11.2018 N 305-ОЗ)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155"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color w:val="392c69"/>
              </w:rPr>
              <w:t xml:space="preserve"> Новосибирской области от 12.03.2024 N 424-ОЗ в п. 2 ст. 2.4 внесены изменения, которые </w:t>
            </w:r>
            <w:hyperlink w:history="0" r:id="rId156"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действуют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Налоговые льготы по транспортному налогу, установленные настоящей статьей, за исключением предусмотренных </w:t>
      </w:r>
      <w:hyperlink w:history="0" w:anchor="P257" w:tooltip="в) в отношении объектов налогообложения, предусмотренных пунктами 3 - 5 статьи 2.2 настоящего Закона, - индивидуальные предприниматели и организации, являющиеся сельскохозяйственными товаропроизводителями;">
        <w:r>
          <w:rPr>
            <w:sz w:val="20"/>
            <w:color w:val="0000ff"/>
          </w:rPr>
          <w:t xml:space="preserve">абзацами семнадцатым</w:t>
        </w:r>
      </w:hyperlink>
      <w:r>
        <w:rPr>
          <w:sz w:val="20"/>
        </w:rPr>
        <w:t xml:space="preserve">, </w:t>
      </w:r>
      <w:hyperlink w:history="0" w:anchor="P260" w:tooltip="д) в отношении объектов налогообложения, предусмотренных подпунктами 1.1, 1.2 пункта 1 статьи 2.2 настоящего Закона, - социально ориентированные некоммерческие организации, состоящие в одном из следующих реестров: реестр некоммерческих организаций - исполнителей общественно полезных услуг, государственный реестр социально ориентированных некоммерческих организаций - получателей государственной поддержки в Новосибирской области, реестр поставщиков социальных услуг Новосибирской области, в отношении трансп...">
        <w:r>
          <w:rPr>
            <w:sz w:val="20"/>
            <w:color w:val="0000ff"/>
          </w:rPr>
          <w:t xml:space="preserve">девятнадцатым</w:t>
        </w:r>
      </w:hyperlink>
      <w:r>
        <w:rPr>
          <w:sz w:val="20"/>
        </w:rPr>
        <w:t xml:space="preserve"> и </w:t>
      </w:r>
      <w:hyperlink w:history="0" w:anchor="P263" w:tooltip="е) в отношении объектов налогообложения, предусмотренных подпунктами 1.1, 1.2 пункта 1, пунктами 2 - 5 статьи 2.2 настоящего Закона, - организации, основным видом экономической деятельности которых является деятельность, относящаяся к видам экономической деятельности &quot;деятельность почтовой связи общего пользования&quot; Общероссийского классификатора видов экономической деятельности ОК 029-2014 (КДЕС Ред. 2), при условии оказания услуг по доставке и (или) выплате пенсий и пособий;">
        <w:r>
          <w:rPr>
            <w:sz w:val="20"/>
            <w:color w:val="0000ff"/>
          </w:rPr>
          <w:t xml:space="preserve">двадцатым подпункта 1</w:t>
        </w:r>
      </w:hyperlink>
      <w:r>
        <w:rPr>
          <w:sz w:val="20"/>
        </w:rPr>
        <w:t xml:space="preserve">, </w:t>
      </w:r>
      <w:hyperlink w:history="0" w:anchor="P291" w:tooltip="4) транспортный налог уплачивают в размере 10% от установленных статьей 2.2 настоящего Закона налоговых ставок:">
        <w:r>
          <w:rPr>
            <w:sz w:val="20"/>
            <w:color w:val="0000ff"/>
          </w:rPr>
          <w:t xml:space="preserve">подпунктами 4</w:t>
        </w:r>
      </w:hyperlink>
      <w:r>
        <w:rPr>
          <w:sz w:val="20"/>
        </w:rPr>
        <w:t xml:space="preserve"> и </w:t>
      </w:r>
      <w:hyperlink w:history="0" w:anchor="P296" w:tooltip="5) транспортный налог уплачивается общественными организациями инвалидов в отношении транспортных средств, используемых для осуществления их уставной деятельности, в следующих размерах:">
        <w:r>
          <w:rPr>
            <w:sz w:val="20"/>
            <w:color w:val="0000ff"/>
          </w:rPr>
          <w:t xml:space="preserve">5 пункта 1</w:t>
        </w:r>
      </w:hyperlink>
      <w:r>
        <w:rPr>
          <w:sz w:val="20"/>
        </w:rPr>
        <w:t xml:space="preserve"> настоящей статьи, предоставляются в отношении одной единицы каждой категории объектов налогообложения по выбору налогоплательщика вне зависимости от количества оснований применения налоговых льгот.</w:t>
      </w:r>
    </w:p>
    <w:p>
      <w:pPr>
        <w:pStyle w:val="0"/>
        <w:jc w:val="both"/>
      </w:pPr>
      <w:r>
        <w:rPr>
          <w:sz w:val="20"/>
        </w:rPr>
        <w:t xml:space="preserve">(в ред. Законов Новосибирской области от 31.10.2014 </w:t>
      </w:r>
      <w:hyperlink w:history="0" r:id="rId157"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N 475-ОЗ</w:t>
        </w:r>
      </w:hyperlink>
      <w:r>
        <w:rPr>
          <w:sz w:val="20"/>
        </w:rPr>
        <w:t xml:space="preserve">, от 30.11.2018 </w:t>
      </w:r>
      <w:hyperlink w:history="0" r:id="rId158"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N 305-ОЗ</w:t>
        </w:r>
      </w:hyperlink>
      <w:r>
        <w:rPr>
          <w:sz w:val="20"/>
        </w:rPr>
        <w:t xml:space="preserve">, от 01.07.2019 </w:t>
      </w:r>
      <w:hyperlink w:history="0" r:id="rId159" w:tooltip="Закон Новосибирской области от 01.07.2019 N 39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9 N 390-ЗС) {КонсультантПлюс}">
        <w:r>
          <w:rPr>
            <w:sz w:val="20"/>
            <w:color w:val="0000ff"/>
          </w:rPr>
          <w:t xml:space="preserve">N 390-ОЗ</w:t>
        </w:r>
      </w:hyperlink>
      <w:r>
        <w:rPr>
          <w:sz w:val="20"/>
        </w:rPr>
        <w:t xml:space="preserve">, от 05.10.2021 </w:t>
      </w:r>
      <w:hyperlink w:history="0" r:id="rId160" w:tooltip="Закон Новосибирской области от 05.10.2021 N 108-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8-ЗС) {КонсультантПлюс}">
        <w:r>
          <w:rPr>
            <w:sz w:val="20"/>
            <w:color w:val="0000ff"/>
          </w:rPr>
          <w:t xml:space="preserve">N 108-ОЗ</w:t>
        </w:r>
      </w:hyperlink>
      <w:r>
        <w:rPr>
          <w:sz w:val="20"/>
        </w:rPr>
        <w:t xml:space="preserve">, от 02.11.2021 </w:t>
      </w:r>
      <w:hyperlink w:history="0" r:id="rId161"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N 129-ОЗ</w:t>
        </w:r>
      </w:hyperlink>
      <w:r>
        <w:rPr>
          <w:sz w:val="20"/>
        </w:rPr>
        <w:t xml:space="preserve">, от 12.03.2024 </w:t>
      </w:r>
      <w:hyperlink w:history="0" r:id="rId162"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N 424-ОЗ</w:t>
        </w:r>
      </w:hyperlink>
      <w:r>
        <w:rPr>
          <w:sz w:val="20"/>
        </w:rPr>
        <w:t xml:space="preserve">)</w:t>
      </w:r>
    </w:p>
    <w:p>
      <w:pPr>
        <w:pStyle w:val="0"/>
        <w:spacing w:before="200" w:line-rule="auto"/>
        <w:ind w:firstLine="540"/>
        <w:jc w:val="both"/>
      </w:pPr>
      <w:r>
        <w:rPr>
          <w:sz w:val="20"/>
        </w:rPr>
        <w:t xml:space="preserve">3. Основанием применения налогоплательщиком - физическим лицом налоговой льготы по транспортному налогу является представление заявления в налоговый орган по своему выбору. К заявлению налогоплательщик вправе представить документы, подтверждающие в соответствии с действующим законодательством отнесение физического лица к категории налогоплательщиков, имеющих право на получение налоговой льготы по транспортному налогу.</w:t>
      </w:r>
    </w:p>
    <w:p>
      <w:pPr>
        <w:pStyle w:val="0"/>
        <w:jc w:val="both"/>
      </w:pPr>
      <w:r>
        <w:rPr>
          <w:sz w:val="20"/>
        </w:rPr>
        <w:t xml:space="preserve">(в ред. </w:t>
      </w:r>
      <w:hyperlink w:history="0" r:id="rId163"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Закона</w:t>
        </w:r>
      </w:hyperlink>
      <w:r>
        <w:rPr>
          <w:sz w:val="20"/>
        </w:rPr>
        <w:t xml:space="preserve"> Новосибирской области от 02.11.2021 N 129-ОЗ)</w:t>
      </w:r>
    </w:p>
    <w:p>
      <w:pPr>
        <w:pStyle w:val="0"/>
        <w:spacing w:before="200" w:line-rule="auto"/>
        <w:ind w:firstLine="540"/>
        <w:jc w:val="both"/>
      </w:pPr>
      <w:r>
        <w:rPr>
          <w:sz w:val="20"/>
        </w:rPr>
        <w:t xml:space="preserve">Указанные в настоящем пункте заявление и документы по выбору налогоплательщика могут быть представлены в налоговый орган через многофункциональный центр предоставления государственных и муниципальных услуг.</w:t>
      </w:r>
    </w:p>
    <w:p>
      <w:pPr>
        <w:pStyle w:val="0"/>
        <w:jc w:val="both"/>
      </w:pPr>
      <w:r>
        <w:rPr>
          <w:sz w:val="20"/>
        </w:rPr>
        <w:t xml:space="preserve">(абзац введен </w:t>
      </w:r>
      <w:hyperlink w:history="0" r:id="rId164" w:tooltip="Закон Новосибирской области от 28.11.2019 N 4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30-ЗС) {КонсультантПлюс}">
        <w:r>
          <w:rPr>
            <w:sz w:val="20"/>
            <w:color w:val="0000ff"/>
          </w:rPr>
          <w:t xml:space="preserve">Законом</w:t>
        </w:r>
      </w:hyperlink>
      <w:r>
        <w:rPr>
          <w:sz w:val="20"/>
        </w:rPr>
        <w:t xml:space="preserve"> Новосибирской области от 28.11.2019 N 430-ОЗ)</w:t>
      </w:r>
    </w:p>
    <w:p>
      <w:pPr>
        <w:pStyle w:val="0"/>
        <w:jc w:val="both"/>
      </w:pPr>
      <w:r>
        <w:rPr>
          <w:sz w:val="20"/>
        </w:rPr>
        <w:t xml:space="preserve">(п. 3 в ред. </w:t>
      </w:r>
      <w:hyperlink w:history="0" r:id="rId165" w:tooltip="Закон Новосибирской области от 01.07.2019 N 39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9 N 390-ЗС) {КонсультантПлюс}">
        <w:r>
          <w:rPr>
            <w:sz w:val="20"/>
            <w:color w:val="0000ff"/>
          </w:rPr>
          <w:t xml:space="preserve">Закона</w:t>
        </w:r>
      </w:hyperlink>
      <w:r>
        <w:rPr>
          <w:sz w:val="20"/>
        </w:rPr>
        <w:t xml:space="preserve"> Новосибирской области от 01.07.2019 N 390-ОЗ)</w:t>
      </w:r>
    </w:p>
    <w:p>
      <w:pPr>
        <w:pStyle w:val="0"/>
        <w:spacing w:before="200" w:line-rule="auto"/>
        <w:ind w:firstLine="540"/>
        <w:jc w:val="both"/>
      </w:pPr>
      <w:r>
        <w:rPr>
          <w:sz w:val="20"/>
        </w:rPr>
        <w:t xml:space="preserve">3.1. Основанием применения налогоплательщиками, указанными в </w:t>
      </w:r>
      <w:hyperlink w:history="0" w:anchor="P258" w:tooltip="г) в отношении объектов налогообложения, предусмотренных пунктом 1 статьи 2.2 настоящего Закона и являющихся электромобилями, - физические лица и организации;">
        <w:r>
          <w:rPr>
            <w:sz w:val="20"/>
            <w:color w:val="0000ff"/>
          </w:rPr>
          <w:t xml:space="preserve">абзаце восемнадцатом подпункта 1 пункта 1</w:t>
        </w:r>
      </w:hyperlink>
      <w:r>
        <w:rPr>
          <w:sz w:val="20"/>
        </w:rPr>
        <w:t xml:space="preserve"> настоящей статьи, налоговых льгот по транспортному налогу является паспорт транспортного средства.</w:t>
      </w:r>
    </w:p>
    <w:p>
      <w:pPr>
        <w:pStyle w:val="0"/>
        <w:jc w:val="both"/>
      </w:pPr>
      <w:r>
        <w:rPr>
          <w:sz w:val="20"/>
        </w:rPr>
        <w:t xml:space="preserve">(п. 3.1 введен </w:t>
      </w:r>
      <w:hyperlink w:history="0" r:id="rId166" w:tooltip="Закон Новосибирской области от 05.10.2021 N 107-ОЗ &quot;О внесении изменений в статью 2.4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7-ЗС) {КонсультантПлюс}">
        <w:r>
          <w:rPr>
            <w:sz w:val="20"/>
            <w:color w:val="0000ff"/>
          </w:rPr>
          <w:t xml:space="preserve">Законом</w:t>
        </w:r>
      </w:hyperlink>
      <w:r>
        <w:rPr>
          <w:sz w:val="20"/>
        </w:rPr>
        <w:t xml:space="preserve"> Новосибирской области от 05.10.2021 N 107-ОЗ; в ред. </w:t>
      </w:r>
      <w:hyperlink w:history="0" r:id="rId167"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Закона</w:t>
        </w:r>
      </w:hyperlink>
      <w:r>
        <w:rPr>
          <w:sz w:val="20"/>
        </w:rPr>
        <w:t xml:space="preserve"> Новосибирской области от 02.11.2021 N 129-ОЗ)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3.2 ст. 2.4, введенный </w:t>
            </w:r>
            <w:hyperlink w:history="0" r:id="rId168"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color w:val="392c69"/>
              </w:rPr>
              <w:t xml:space="preserve"> Новосибирской области от 12.03.2024 N 424-ОЗ, </w:t>
            </w:r>
            <w:hyperlink w:history="0" r:id="rId169"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Основанием применения налогоплательщиками, указанными в </w:t>
      </w:r>
      <w:hyperlink w:history="0" w:anchor="P263" w:tooltip="е) в отношении объектов налогообложения, предусмотренных подпунктами 1.1, 1.2 пункта 1, пунктами 2 - 5 статьи 2.2 настоящего Закона, - организации, основным видом экономической деятельности которых является деятельность, относящаяся к видам экономической деятельности &quot;деятельность почтовой связи общего пользования&quot; Общероссийского классификатора видов экономической деятельности ОК 029-2014 (КДЕС Ред. 2), при условии оказания услуг по доставке и (или) выплате пенсий и пособий;">
        <w:r>
          <w:rPr>
            <w:sz w:val="20"/>
            <w:color w:val="0000ff"/>
          </w:rPr>
          <w:t xml:space="preserve">абзаце двадцатом подпункта 1 пункта 1</w:t>
        </w:r>
      </w:hyperlink>
      <w:r>
        <w:rPr>
          <w:sz w:val="20"/>
        </w:rPr>
        <w:t xml:space="preserve"> настоящей статьи, налоговых льгот по транспортному налогу является соглашение, заключенное налогоплательщиком с Правительством Новосибирской области в целях развития и расширения сети почтовой связи на территории Новосибирской области.</w:t>
      </w:r>
    </w:p>
    <w:p>
      <w:pPr>
        <w:pStyle w:val="0"/>
        <w:spacing w:before="200" w:line-rule="auto"/>
        <w:ind w:firstLine="540"/>
        <w:jc w:val="both"/>
      </w:pPr>
      <w:r>
        <w:rPr>
          <w:sz w:val="20"/>
        </w:rPr>
        <w:t xml:space="preserve">Областной исполнительный орган Новосибирской области, уполномоченный в сфере цифрового развития и связи, передает данные о налогоплательщиках, заключивших соглашения с Правительством Новосибирской области, в Управление Федеральной налоговой службы по Новосибирской области до 15 февраля года, следующего за истекшим налоговым периодом.</w:t>
      </w:r>
    </w:p>
    <w:p>
      <w:pPr>
        <w:pStyle w:val="0"/>
        <w:jc w:val="both"/>
      </w:pPr>
      <w:r>
        <w:rPr>
          <w:sz w:val="20"/>
        </w:rPr>
        <w:t xml:space="preserve">(п. 3.2 введен </w:t>
      </w:r>
      <w:hyperlink w:history="0" r:id="rId170"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rPr>
        <w:t xml:space="preserve"> Новосибирской области от 12.03.2024 N 424-ОЗ)</w:t>
      </w:r>
    </w:p>
    <w:p>
      <w:pPr>
        <w:pStyle w:val="0"/>
        <w:spacing w:before="200" w:line-rule="auto"/>
        <w:ind w:firstLine="540"/>
        <w:jc w:val="both"/>
      </w:pPr>
      <w:r>
        <w:rPr>
          <w:sz w:val="20"/>
        </w:rPr>
        <w:t xml:space="preserve">4. Основанием применения налогоплательщиками, указанными в </w:t>
      </w:r>
      <w:hyperlink w:history="0" w:anchor="P291" w:tooltip="4) транспортный налог уплачивают в размере 10% от установленных статьей 2.2 настоящего Закона налоговых ставок:">
        <w:r>
          <w:rPr>
            <w:sz w:val="20"/>
            <w:color w:val="0000ff"/>
          </w:rPr>
          <w:t xml:space="preserve">подпункте 4 пункта 1 статьи 2.4</w:t>
        </w:r>
      </w:hyperlink>
      <w:r>
        <w:rPr>
          <w:sz w:val="20"/>
        </w:rPr>
        <w:t xml:space="preserve"> настоящего Закона, налоговых льгот по транспортному налогу являются следующие документы:</w:t>
      </w:r>
    </w:p>
    <w:p>
      <w:pPr>
        <w:pStyle w:val="0"/>
        <w:jc w:val="both"/>
      </w:pPr>
      <w:r>
        <w:rPr>
          <w:sz w:val="20"/>
        </w:rPr>
        <w:t xml:space="preserve">(в ред. </w:t>
      </w:r>
      <w:hyperlink w:history="0" r:id="rId171"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Закона</w:t>
        </w:r>
      </w:hyperlink>
      <w:r>
        <w:rPr>
          <w:sz w:val="20"/>
        </w:rPr>
        <w:t xml:space="preserve"> Новосибирской области от 02.11.2021 N 129-ОЗ)</w:t>
      </w:r>
    </w:p>
    <w:p>
      <w:pPr>
        <w:pStyle w:val="0"/>
        <w:spacing w:before="200" w:line-rule="auto"/>
        <w:ind w:firstLine="540"/>
        <w:jc w:val="both"/>
      </w:pPr>
      <w:r>
        <w:rPr>
          <w:sz w:val="20"/>
        </w:rPr>
        <w:t xml:space="preserve">1) паспорт транспортного средства - по транспортным средствам, оборудованным для использования газа в качестве моторного топлива;</w:t>
      </w:r>
    </w:p>
    <w:p>
      <w:pPr>
        <w:pStyle w:val="0"/>
        <w:spacing w:before="200" w:line-rule="auto"/>
        <w:ind w:firstLine="540"/>
        <w:jc w:val="both"/>
      </w:pPr>
      <w:r>
        <w:rPr>
          <w:sz w:val="20"/>
        </w:rPr>
        <w:t xml:space="preserve">2) свидетельство о соответствии конструкции транспортного средства требованиям безопасности - по транспортным средствам, оборудованным для использования газа в качестве моторного топлива путем внесения изменений в конструкцию транспортного средства;</w:t>
      </w:r>
    </w:p>
    <w:p>
      <w:pPr>
        <w:pStyle w:val="0"/>
        <w:spacing w:before="200" w:line-rule="auto"/>
        <w:ind w:firstLine="540"/>
        <w:jc w:val="both"/>
      </w:pPr>
      <w:r>
        <w:rPr>
          <w:sz w:val="20"/>
        </w:rPr>
        <w:t xml:space="preserve">3) договор об организации пассажирских перевозок - для налогоплательщиков, указанных в </w:t>
      </w:r>
      <w:hyperlink w:history="0" w:anchor="P292" w:tooltip="а) в отношении объектов налогообложения, предусмотренных пунктом 3 статьи 2.2 настоящего Закона, использующих природный газ в качестве моторного топлива, - физические лица, зарегистрированные в качестве индивидуальных предпринимателей, и организации,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Законом Новосибирской области от 5 мая 2016 года N 55-ОЗ &quot;Об отдельных вопросах организации транспор...">
        <w:r>
          <w:rPr>
            <w:sz w:val="20"/>
            <w:color w:val="0000ff"/>
          </w:rPr>
          <w:t xml:space="preserve">абзаце втором подпункта 4 пункта 1 статьи 2.4</w:t>
        </w:r>
      </w:hyperlink>
      <w:r>
        <w:rPr>
          <w:sz w:val="20"/>
        </w:rPr>
        <w:t xml:space="preserve"> настоящего Закона.</w:t>
      </w:r>
    </w:p>
    <w:p>
      <w:pPr>
        <w:pStyle w:val="0"/>
        <w:jc w:val="both"/>
      </w:pPr>
      <w:r>
        <w:rPr>
          <w:sz w:val="20"/>
        </w:rPr>
        <w:t xml:space="preserve">(п. 4 введен </w:t>
      </w:r>
      <w:hyperlink w:history="0" r:id="rId172"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Законом</w:t>
        </w:r>
      </w:hyperlink>
      <w:r>
        <w:rPr>
          <w:sz w:val="20"/>
        </w:rPr>
        <w:t xml:space="preserve"> Новосибирской области от 31.10.2014 N 475-ОЗ)</w:t>
      </w:r>
    </w:p>
    <w:p>
      <w:pPr>
        <w:pStyle w:val="0"/>
        <w:spacing w:before="200" w:line-rule="auto"/>
        <w:ind w:firstLine="540"/>
        <w:jc w:val="both"/>
      </w:pPr>
      <w:r>
        <w:rPr>
          <w:sz w:val="20"/>
        </w:rPr>
        <w:t xml:space="preserve">5. Основанием применения налогоплательщиками, указанными в </w:t>
      </w:r>
      <w:hyperlink w:history="0" w:anchor="P296" w:tooltip="5) транспортный налог уплачивается общественными организациями инвалидов в отношении транспортных средств, используемых для осуществления их уставной деятельности, в следующих размерах:">
        <w:r>
          <w:rPr>
            <w:sz w:val="20"/>
            <w:color w:val="0000ff"/>
          </w:rPr>
          <w:t xml:space="preserve">подпункте 5 пункта 1 статьи 2.4</w:t>
        </w:r>
      </w:hyperlink>
      <w:r>
        <w:rPr>
          <w:sz w:val="20"/>
        </w:rPr>
        <w:t xml:space="preserve"> настоящего Закона, налоговых льгот по транспортному налогу являются следующие документы:</w:t>
      </w:r>
    </w:p>
    <w:p>
      <w:pPr>
        <w:pStyle w:val="0"/>
        <w:jc w:val="both"/>
      </w:pPr>
      <w:r>
        <w:rPr>
          <w:sz w:val="20"/>
        </w:rPr>
        <w:t xml:space="preserve">(в ред. </w:t>
      </w:r>
      <w:hyperlink w:history="0" r:id="rId173" w:tooltip="Закон Новосибирской области от 02.11.2021 N 1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9-ЗС) {КонсультантПлюс}">
        <w:r>
          <w:rPr>
            <w:sz w:val="20"/>
            <w:color w:val="0000ff"/>
          </w:rPr>
          <w:t xml:space="preserve">Закона</w:t>
        </w:r>
      </w:hyperlink>
      <w:r>
        <w:rPr>
          <w:sz w:val="20"/>
        </w:rPr>
        <w:t xml:space="preserve"> Новосибирской области от 02.11.2021 N 129-ОЗ)</w:t>
      </w:r>
    </w:p>
    <w:p>
      <w:pPr>
        <w:pStyle w:val="0"/>
        <w:spacing w:before="200" w:line-rule="auto"/>
        <w:ind w:firstLine="540"/>
        <w:jc w:val="both"/>
      </w:pPr>
      <w:r>
        <w:rPr>
          <w:sz w:val="20"/>
        </w:rPr>
        <w:t xml:space="preserve">1) копия устава общественной организации инвалидов;</w:t>
      </w:r>
    </w:p>
    <w:p>
      <w:pPr>
        <w:pStyle w:val="0"/>
        <w:spacing w:before="200" w:line-rule="auto"/>
        <w:ind w:firstLine="540"/>
        <w:jc w:val="both"/>
      </w:pPr>
      <w:r>
        <w:rPr>
          <w:sz w:val="20"/>
        </w:rPr>
        <w:t xml:space="preserve">2) паспорт транспортного средства.</w:t>
      </w:r>
    </w:p>
    <w:p>
      <w:pPr>
        <w:pStyle w:val="0"/>
        <w:jc w:val="both"/>
      </w:pPr>
      <w:r>
        <w:rPr>
          <w:sz w:val="20"/>
        </w:rPr>
        <w:t xml:space="preserve">(п. 5 введен </w:t>
      </w:r>
      <w:hyperlink w:history="0" r:id="rId174"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Законом</w:t>
        </w:r>
      </w:hyperlink>
      <w:r>
        <w:rPr>
          <w:sz w:val="20"/>
        </w:rPr>
        <w:t xml:space="preserve"> Новосибирской области от 30.11.2018 N 305-ОЗ)</w:t>
      </w:r>
    </w:p>
    <w:p>
      <w:pPr>
        <w:pStyle w:val="0"/>
        <w:ind w:firstLine="540"/>
        <w:jc w:val="both"/>
      </w:pPr>
      <w:r>
        <w:rPr>
          <w:sz w:val="20"/>
        </w:rPr>
      </w:r>
    </w:p>
    <w:p>
      <w:pPr>
        <w:pStyle w:val="2"/>
        <w:outlineLvl w:val="3"/>
        <w:ind w:firstLine="540"/>
        <w:jc w:val="both"/>
      </w:pPr>
      <w:r>
        <w:rPr>
          <w:sz w:val="20"/>
        </w:rPr>
        <w:t xml:space="preserve">Статья 2.5. Исключена с 1 января 2007 года. - </w:t>
      </w:r>
      <w:hyperlink w:history="0" r:id="rId175" w:tooltip="Закон Новосибирской области от 19.10.2006 N 3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8.09.2006 N 31-ОСД) {КонсультантПлюс}">
        <w:r>
          <w:rPr>
            <w:sz w:val="20"/>
            <w:color w:val="0000ff"/>
          </w:rPr>
          <w:t xml:space="preserve">Закон</w:t>
        </w:r>
      </w:hyperlink>
      <w:r>
        <w:rPr>
          <w:sz w:val="20"/>
        </w:rPr>
        <w:t xml:space="preserve"> Новосибирской области от 19.10.2006 N 31-ОЗ.</w:t>
      </w:r>
    </w:p>
    <w:p>
      <w:pPr>
        <w:pStyle w:val="0"/>
      </w:pPr>
      <w:r>
        <w:rPr>
          <w:sz w:val="20"/>
        </w:rPr>
      </w:r>
    </w:p>
    <w:p>
      <w:pPr>
        <w:pStyle w:val="2"/>
        <w:outlineLvl w:val="2"/>
        <w:jc w:val="center"/>
      </w:pPr>
      <w:r>
        <w:rPr>
          <w:sz w:val="20"/>
        </w:rPr>
        <w:t xml:space="preserve">Глава 3. СТАВКИ НАЛОГА НА ИГОРНЫЙ БИЗНЕС</w:t>
      </w:r>
    </w:p>
    <w:p>
      <w:pPr>
        <w:pStyle w:val="0"/>
      </w:pPr>
      <w:r>
        <w:rPr>
          <w:sz w:val="20"/>
        </w:rPr>
      </w:r>
    </w:p>
    <w:p>
      <w:pPr>
        <w:pStyle w:val="2"/>
        <w:outlineLvl w:val="3"/>
        <w:ind w:firstLine="540"/>
        <w:jc w:val="both"/>
      </w:pPr>
      <w:r>
        <w:rPr>
          <w:sz w:val="20"/>
        </w:rPr>
        <w:t xml:space="preserve">Статья 3.1. Общие положения</w:t>
      </w:r>
    </w:p>
    <w:p>
      <w:pPr>
        <w:pStyle w:val="0"/>
      </w:pPr>
      <w:r>
        <w:rPr>
          <w:sz w:val="20"/>
        </w:rPr>
      </w:r>
    </w:p>
    <w:p>
      <w:pPr>
        <w:pStyle w:val="0"/>
        <w:ind w:firstLine="540"/>
        <w:jc w:val="both"/>
      </w:pPr>
      <w:r>
        <w:rPr>
          <w:sz w:val="20"/>
        </w:rPr>
        <w:t xml:space="preserve">Настоящей главой в соответствии с </w:t>
      </w:r>
      <w:hyperlink w:history="0" r:id="rId176"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главой 29</w:t>
        </w:r>
      </w:hyperlink>
      <w:r>
        <w:rPr>
          <w:sz w:val="20"/>
        </w:rPr>
        <w:t xml:space="preserve"> Налогового кодекса Российской Федерации устанавливаются ставки налога на игорный бизнес.</w:t>
      </w:r>
    </w:p>
    <w:p>
      <w:pPr>
        <w:pStyle w:val="0"/>
      </w:pPr>
      <w:r>
        <w:rPr>
          <w:sz w:val="20"/>
        </w:rPr>
      </w:r>
    </w:p>
    <w:p>
      <w:pPr>
        <w:pStyle w:val="2"/>
        <w:outlineLvl w:val="3"/>
        <w:ind w:firstLine="540"/>
        <w:jc w:val="both"/>
      </w:pPr>
      <w:r>
        <w:rPr>
          <w:sz w:val="20"/>
        </w:rPr>
        <w:t xml:space="preserve">Статья 3.2. Ставки налога на игорный бизнес</w:t>
      </w:r>
    </w:p>
    <w:p>
      <w:pPr>
        <w:pStyle w:val="0"/>
        <w:ind w:firstLine="540"/>
        <w:jc w:val="both"/>
      </w:pPr>
      <w:r>
        <w:rPr>
          <w:sz w:val="20"/>
        </w:rPr>
        <w:t xml:space="preserve">(в ред. </w:t>
      </w:r>
      <w:hyperlink w:history="0" r:id="rId177"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Закона</w:t>
        </w:r>
      </w:hyperlink>
      <w:r>
        <w:rPr>
          <w:sz w:val="20"/>
        </w:rPr>
        <w:t xml:space="preserve"> Новосибирской области от 30.11.2018 N 305-ОЗ)</w:t>
      </w:r>
    </w:p>
    <w:p>
      <w:pPr>
        <w:pStyle w:val="0"/>
        <w:ind w:firstLine="540"/>
        <w:jc w:val="both"/>
      </w:pPr>
      <w:r>
        <w:rPr>
          <w:sz w:val="20"/>
        </w:rPr>
      </w:r>
    </w:p>
    <w:p>
      <w:pPr>
        <w:pStyle w:val="0"/>
        <w:ind w:firstLine="540"/>
        <w:jc w:val="both"/>
      </w:pPr>
      <w:r>
        <w:rPr>
          <w:sz w:val="20"/>
        </w:rPr>
        <w:t xml:space="preserve">Ставки налога на игорный бизнес устанавливаются в следующих размерах:</w:t>
      </w:r>
    </w:p>
    <w:p>
      <w:pPr>
        <w:pStyle w:val="0"/>
        <w:spacing w:before="200" w:line-rule="auto"/>
        <w:ind w:firstLine="540"/>
        <w:jc w:val="both"/>
      </w:pPr>
      <w:r>
        <w:rPr>
          <w:sz w:val="20"/>
        </w:rPr>
        <w:t xml:space="preserve">1) за один процессинговый центр букмекерской конторы - 250 000 рублей;</w:t>
      </w:r>
    </w:p>
    <w:p>
      <w:pPr>
        <w:pStyle w:val="0"/>
        <w:spacing w:before="200" w:line-rule="auto"/>
        <w:ind w:firstLine="540"/>
        <w:jc w:val="both"/>
      </w:pPr>
      <w:r>
        <w:rPr>
          <w:sz w:val="20"/>
        </w:rPr>
        <w:t xml:space="preserve">2) за один процессинговый центр тотализатора - 250 000 рублей;</w:t>
      </w:r>
    </w:p>
    <w:p>
      <w:pPr>
        <w:pStyle w:val="0"/>
        <w:spacing w:before="200" w:line-rule="auto"/>
        <w:ind w:firstLine="540"/>
        <w:jc w:val="both"/>
      </w:pPr>
      <w:r>
        <w:rPr>
          <w:sz w:val="20"/>
        </w:rPr>
        <w:t xml:space="preserve">3) за один процессинговый центр интерактивных ставок тотализатора - 3 000 000 рублей;</w:t>
      </w:r>
    </w:p>
    <w:p>
      <w:pPr>
        <w:pStyle w:val="0"/>
        <w:spacing w:before="200" w:line-rule="auto"/>
        <w:ind w:firstLine="540"/>
        <w:jc w:val="both"/>
      </w:pPr>
      <w:r>
        <w:rPr>
          <w:sz w:val="20"/>
        </w:rPr>
        <w:t xml:space="preserve">4) за один процессинговый центр интерактивных ставок букмекерской конторы - 3 000 000 рублей;</w:t>
      </w:r>
    </w:p>
    <w:p>
      <w:pPr>
        <w:pStyle w:val="0"/>
        <w:spacing w:before="200" w:line-rule="auto"/>
        <w:ind w:firstLine="540"/>
        <w:jc w:val="both"/>
      </w:pPr>
      <w:r>
        <w:rPr>
          <w:sz w:val="20"/>
        </w:rPr>
        <w:t xml:space="preserve">5) за один пункт приема ставок тотализатора - 14 000 рублей;</w:t>
      </w:r>
    </w:p>
    <w:p>
      <w:pPr>
        <w:pStyle w:val="0"/>
        <w:spacing w:before="200" w:line-rule="auto"/>
        <w:ind w:firstLine="540"/>
        <w:jc w:val="both"/>
      </w:pPr>
      <w:r>
        <w:rPr>
          <w:sz w:val="20"/>
        </w:rPr>
        <w:t xml:space="preserve">6) за один пункт приема ставок букмекерской конторы - 14 000 рублей.</w:t>
      </w:r>
    </w:p>
    <w:p>
      <w:pPr>
        <w:pStyle w:val="0"/>
        <w:ind w:firstLine="540"/>
        <w:jc w:val="both"/>
      </w:pPr>
      <w:r>
        <w:rPr>
          <w:sz w:val="20"/>
        </w:rPr>
      </w:r>
    </w:p>
    <w:p>
      <w:pPr>
        <w:pStyle w:val="2"/>
        <w:outlineLvl w:val="2"/>
        <w:jc w:val="center"/>
      </w:pPr>
      <w:r>
        <w:rPr>
          <w:sz w:val="20"/>
        </w:rPr>
        <w:t xml:space="preserve">Глава 4. НАЛОГ НА ИМУЩЕСТВО ОРГАНИЗАЦИЙ</w:t>
      </w:r>
    </w:p>
    <w:p>
      <w:pPr>
        <w:pStyle w:val="0"/>
        <w:jc w:val="center"/>
      </w:pPr>
      <w:r>
        <w:rPr>
          <w:sz w:val="20"/>
        </w:rPr>
        <w:t xml:space="preserve">(в ред. </w:t>
      </w:r>
      <w:hyperlink w:history="0" r:id="rId178" w:tooltip="Закон Новосибирской области от 24.11.2003 N 1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13.11.2003 N 159-ОСД) {КонсультантПлюс}">
        <w:r>
          <w:rPr>
            <w:sz w:val="20"/>
            <w:color w:val="0000ff"/>
          </w:rPr>
          <w:t xml:space="preserve">Закона</w:t>
        </w:r>
      </w:hyperlink>
      <w:r>
        <w:rPr>
          <w:sz w:val="20"/>
        </w:rPr>
        <w:t xml:space="preserve"> Новосибирской области</w:t>
      </w:r>
    </w:p>
    <w:p>
      <w:pPr>
        <w:pStyle w:val="0"/>
        <w:jc w:val="center"/>
      </w:pPr>
      <w:r>
        <w:rPr>
          <w:sz w:val="20"/>
        </w:rPr>
        <w:t xml:space="preserve">от 24.11.2003 N 159-ОЗ)</w:t>
      </w:r>
    </w:p>
    <w:p>
      <w:pPr>
        <w:pStyle w:val="0"/>
      </w:pPr>
      <w:r>
        <w:rPr>
          <w:sz w:val="20"/>
        </w:rPr>
      </w:r>
    </w:p>
    <w:p>
      <w:pPr>
        <w:pStyle w:val="2"/>
        <w:outlineLvl w:val="3"/>
        <w:ind w:firstLine="540"/>
        <w:jc w:val="both"/>
      </w:pPr>
      <w:r>
        <w:rPr>
          <w:sz w:val="20"/>
        </w:rPr>
        <w:t xml:space="preserve">Статья 4.1. Общие положения</w:t>
      </w:r>
    </w:p>
    <w:p>
      <w:pPr>
        <w:pStyle w:val="0"/>
      </w:pPr>
      <w:r>
        <w:rPr>
          <w:sz w:val="20"/>
        </w:rPr>
      </w:r>
    </w:p>
    <w:p>
      <w:pPr>
        <w:pStyle w:val="0"/>
        <w:ind w:firstLine="540"/>
        <w:jc w:val="both"/>
      </w:pPr>
      <w:r>
        <w:rPr>
          <w:sz w:val="20"/>
        </w:rPr>
        <w:t xml:space="preserve">Настоящей главой в соответствии с </w:t>
      </w:r>
      <w:hyperlink w:history="0" r:id="rId179"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главой 30</w:t>
        </w:r>
      </w:hyperlink>
      <w:r>
        <w:rPr>
          <w:sz w:val="20"/>
        </w:rPr>
        <w:t xml:space="preserve"> Налогового кодекса Российской Федерации устанавливается и вводится в действие налог на имущество организаций (далее в настоящей главе - налог), устанавливаются ставка налога, порядок уплаты, а также определяются особенности определения налоговой базы отдельных объектов недвижимого имущества.</w:t>
      </w:r>
    </w:p>
    <w:p>
      <w:pPr>
        <w:pStyle w:val="0"/>
        <w:jc w:val="both"/>
      </w:pPr>
      <w:r>
        <w:rPr>
          <w:sz w:val="20"/>
        </w:rPr>
        <w:t xml:space="preserve">(в ред. Законов Новосибирской области от 02.11.2007 </w:t>
      </w:r>
      <w:hyperlink w:history="0" r:id="rId180" w:tooltip="Закон Новосибирской области от 02.11.2007 N 16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0-ОСД) {КонсультантПлюс}">
        <w:r>
          <w:rPr>
            <w:sz w:val="20"/>
            <w:color w:val="0000ff"/>
          </w:rPr>
          <w:t xml:space="preserve">N 160-ОЗ</w:t>
        </w:r>
      </w:hyperlink>
      <w:r>
        <w:rPr>
          <w:sz w:val="20"/>
        </w:rPr>
        <w:t xml:space="preserve">, от 24.11.2014 </w:t>
      </w:r>
      <w:hyperlink w:history="0" r:id="rId181" w:tooltip="Закон Новосибирской области от 24.11.2014 N 48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4 N 482-ЗС) {КонсультантПлюс}">
        <w:r>
          <w:rPr>
            <w:sz w:val="20"/>
            <w:color w:val="0000ff"/>
          </w:rPr>
          <w:t xml:space="preserve">N 482-ОЗ</w:t>
        </w:r>
      </w:hyperlink>
      <w:r>
        <w:rPr>
          <w:sz w:val="20"/>
        </w:rPr>
        <w:t xml:space="preserve">, от 02.11.2021 </w:t>
      </w:r>
      <w:hyperlink w:history="0" r:id="rId182"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N 130-ОЗ</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4.2. Ставка налога</w:t>
      </w:r>
    </w:p>
    <w:p>
      <w:pPr>
        <w:pStyle w:val="0"/>
        <w:ind w:firstLine="540"/>
        <w:jc w:val="both"/>
      </w:pPr>
      <w:r>
        <w:rPr>
          <w:sz w:val="20"/>
        </w:rPr>
        <w:t xml:space="preserve">(в ред. </w:t>
      </w:r>
      <w:hyperlink w:history="0" r:id="rId183" w:tooltip="Закон Новосибирской области от 24.11.2014 N 48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4 N 482-ЗС) {КонсультантПлюс}">
        <w:r>
          <w:rPr>
            <w:sz w:val="20"/>
            <w:color w:val="0000ff"/>
          </w:rPr>
          <w:t xml:space="preserve">Закона</w:t>
        </w:r>
      </w:hyperlink>
      <w:r>
        <w:rPr>
          <w:sz w:val="20"/>
        </w:rPr>
        <w:t xml:space="preserve"> Новосибирской области от 24.11.2014 N 482-ОЗ)</w:t>
      </w:r>
    </w:p>
    <w:p>
      <w:pPr>
        <w:pStyle w:val="0"/>
        <w:ind w:firstLine="540"/>
        <w:jc w:val="both"/>
      </w:pPr>
      <w:r>
        <w:rPr>
          <w:sz w:val="20"/>
        </w:rPr>
      </w:r>
    </w:p>
    <w:p>
      <w:pPr>
        <w:pStyle w:val="0"/>
        <w:ind w:firstLine="540"/>
        <w:jc w:val="both"/>
      </w:pPr>
      <w:hyperlink w:history="0" r:id="rId184"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Ставки</w:t>
        </w:r>
      </w:hyperlink>
      <w:r>
        <w:rPr>
          <w:sz w:val="20"/>
        </w:rPr>
        <w:t xml:space="preserve"> налога устанавливаются в следующих размерах:</w:t>
      </w:r>
    </w:p>
    <w:p>
      <w:pPr>
        <w:pStyle w:val="0"/>
        <w:spacing w:before="200" w:line-rule="auto"/>
        <w:ind w:firstLine="540"/>
        <w:jc w:val="both"/>
      </w:pPr>
      <w:r>
        <w:rPr>
          <w:sz w:val="20"/>
        </w:rPr>
        <w:t xml:space="preserve">1) в отношении имущества, признаваемого объектом налогообложения, налоговая база которого определяется как среднегодовая стоимость, - 2,2 процента;</w:t>
      </w:r>
    </w:p>
    <w:p>
      <w:pPr>
        <w:pStyle w:val="0"/>
        <w:spacing w:before="200" w:line-rule="auto"/>
        <w:ind w:firstLine="540"/>
        <w:jc w:val="both"/>
      </w:pPr>
      <w:r>
        <w:rPr>
          <w:sz w:val="20"/>
        </w:rPr>
        <w:t xml:space="preserve">2) в отношении объектов недвижимого имущества, указанных в </w:t>
      </w:r>
      <w:hyperlink w:history="0" w:anchor="P382" w:tooltip="1) административно-деловые центры и торговые центры (комплексы) общей площадью свыше 3000 квадратных метров и помещения в них;">
        <w:r>
          <w:rPr>
            <w:sz w:val="20"/>
            <w:color w:val="0000ff"/>
          </w:rPr>
          <w:t xml:space="preserve">подпунктах 1</w:t>
        </w:r>
      </w:hyperlink>
      <w:r>
        <w:rPr>
          <w:sz w:val="20"/>
        </w:rPr>
        <w:t xml:space="preserve">, </w:t>
      </w:r>
      <w:hyperlink w:history="0" w:anchor="P383" w:tooltip="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е в...">
        <w:r>
          <w:rPr>
            <w:sz w:val="20"/>
            <w:color w:val="0000ff"/>
          </w:rPr>
          <w:t xml:space="preserve">2</w:t>
        </w:r>
      </w:hyperlink>
      <w:r>
        <w:rPr>
          <w:sz w:val="20"/>
        </w:rPr>
        <w:t xml:space="preserve"> и </w:t>
      </w:r>
      <w:hyperlink w:history="0" w:anchor="P386" w:tooltip="4) жилые дома, квартиры, комнаты.">
        <w:r>
          <w:rPr>
            <w:sz w:val="20"/>
            <w:color w:val="0000ff"/>
          </w:rPr>
          <w:t xml:space="preserve">4 пункта 1 статьи 4.5</w:t>
        </w:r>
      </w:hyperlink>
      <w:r>
        <w:rPr>
          <w:sz w:val="20"/>
        </w:rPr>
        <w:t xml:space="preserve"> настоящего Закона, налоговая база которых определяется как кадастровая стоимость, в 2015 году - 1,0 процента, в 2016 году - 1,5 процента, в 2017 году и последующие годы - 2,0 процента;</w:t>
      </w:r>
    </w:p>
    <w:p>
      <w:pPr>
        <w:pStyle w:val="0"/>
        <w:spacing w:before="200" w:line-rule="auto"/>
        <w:ind w:firstLine="540"/>
        <w:jc w:val="both"/>
      </w:pPr>
      <w:r>
        <w:rPr>
          <w:sz w:val="20"/>
        </w:rPr>
        <w:t xml:space="preserve">3) в отношении объектов недвижимого имущества, указанных в </w:t>
      </w:r>
      <w:hyperlink w:history="0" w:anchor="P385" w:tooltip="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
        <w:r>
          <w:rPr>
            <w:sz w:val="20"/>
            <w:color w:val="0000ff"/>
          </w:rPr>
          <w:t xml:space="preserve">подпункте 3 пункта 1 статьи 4.5</w:t>
        </w:r>
      </w:hyperlink>
      <w:r>
        <w:rPr>
          <w:sz w:val="20"/>
        </w:rPr>
        <w:t xml:space="preserve"> настоящего Закона, налоговая база которых определяется как кадастровая стоимость, в 2015 году - 1,5 процента, в 2016 году и последующие годы - 2,0 процента.</w:t>
      </w:r>
    </w:p>
    <w:p>
      <w:pPr>
        <w:pStyle w:val="0"/>
        <w:ind w:firstLine="540"/>
        <w:jc w:val="both"/>
      </w:pPr>
      <w:r>
        <w:rPr>
          <w:sz w:val="20"/>
        </w:rPr>
      </w:r>
    </w:p>
    <w:p>
      <w:pPr>
        <w:pStyle w:val="2"/>
        <w:outlineLvl w:val="3"/>
        <w:ind w:firstLine="540"/>
        <w:jc w:val="both"/>
      </w:pPr>
      <w:r>
        <w:rPr>
          <w:sz w:val="20"/>
        </w:rPr>
        <w:t xml:space="preserve">Статья 4.3. Порядок уплаты налога</w:t>
      </w:r>
    </w:p>
    <w:p>
      <w:pPr>
        <w:pStyle w:val="0"/>
        <w:jc w:val="both"/>
      </w:pPr>
      <w:r>
        <w:rPr>
          <w:sz w:val="20"/>
        </w:rPr>
        <w:t xml:space="preserve">(в ред. </w:t>
      </w:r>
      <w:hyperlink w:history="0" r:id="rId185"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Закона</w:t>
        </w:r>
      </w:hyperlink>
      <w:r>
        <w:rPr>
          <w:sz w:val="20"/>
        </w:rPr>
        <w:t xml:space="preserve"> Новосибирской области от 02.11.2021 N 130-ОЗ)</w:t>
      </w:r>
    </w:p>
    <w:p>
      <w:pPr>
        <w:pStyle w:val="0"/>
      </w:pPr>
      <w:r>
        <w:rPr>
          <w:sz w:val="20"/>
        </w:rPr>
      </w:r>
    </w:p>
    <w:p>
      <w:pPr>
        <w:pStyle w:val="0"/>
        <w:ind w:firstLine="540"/>
        <w:jc w:val="both"/>
      </w:pPr>
      <w:r>
        <w:rPr>
          <w:sz w:val="20"/>
        </w:rPr>
        <w:t xml:space="preserve">1. Абзац утратил силу с 1 января 2022 года. - </w:t>
      </w:r>
      <w:hyperlink w:history="0" r:id="rId186"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Закон</w:t>
        </w:r>
      </w:hyperlink>
      <w:r>
        <w:rPr>
          <w:sz w:val="20"/>
        </w:rPr>
        <w:t xml:space="preserve"> Новосибирской области от 02.11.2021 N 130-ОЗ.</w:t>
      </w:r>
    </w:p>
    <w:p>
      <w:pPr>
        <w:pStyle w:val="0"/>
        <w:spacing w:before="200" w:line-rule="auto"/>
        <w:ind w:firstLine="540"/>
        <w:jc w:val="both"/>
      </w:pPr>
      <w:r>
        <w:rPr>
          <w:sz w:val="20"/>
        </w:rPr>
        <w:t xml:space="preserve">От исчисления и уплаты авансовых платежей по итогам отчетного периода освобождаются сельскохозяйственные товаропроизводители при условии, что за предыдущий год в общем доходе от реализации товаров (работ, услуг) доля дохода от реализации произведенной ими сельскохозяйственной продукции и (или) выращенной ими рыбы, включая продукцию ее первичной переработки, произведенную ими из сельскохозяйственного сырья собственного производства и (или) выращенной ими рыбы, составляет не менее 70%.</w:t>
      </w:r>
    </w:p>
    <w:p>
      <w:pPr>
        <w:pStyle w:val="0"/>
        <w:jc w:val="both"/>
      </w:pPr>
      <w:r>
        <w:rPr>
          <w:sz w:val="20"/>
        </w:rPr>
        <w:t xml:space="preserve">(абзац введен </w:t>
      </w:r>
      <w:hyperlink w:history="0" r:id="rId187"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Законом</w:t>
        </w:r>
      </w:hyperlink>
      <w:r>
        <w:rPr>
          <w:sz w:val="20"/>
        </w:rPr>
        <w:t xml:space="preserve"> Новосибирской области от 25.11.2004 N 235-ОЗ; в ред. </w:t>
      </w:r>
      <w:hyperlink w:history="0" r:id="rId188"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Закона</w:t>
        </w:r>
      </w:hyperlink>
      <w:r>
        <w:rPr>
          <w:sz w:val="20"/>
        </w:rPr>
        <w:t xml:space="preserve"> Новосибирской области от 03.05.2012 N 204-ОЗ)</w:t>
      </w:r>
    </w:p>
    <w:p>
      <w:pPr>
        <w:pStyle w:val="0"/>
        <w:spacing w:before="200" w:line-rule="auto"/>
        <w:ind w:firstLine="540"/>
        <w:jc w:val="both"/>
      </w:pPr>
      <w:r>
        <w:rPr>
          <w:sz w:val="20"/>
        </w:rPr>
        <w:t xml:space="preserve">2. Утратил силу с 1 января 2022 года. - </w:t>
      </w:r>
      <w:hyperlink w:history="0" r:id="rId189"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Закон</w:t>
        </w:r>
      </w:hyperlink>
      <w:r>
        <w:rPr>
          <w:sz w:val="20"/>
        </w:rPr>
        <w:t xml:space="preserve"> Новосибирской области от 02.11.2021 N 130-ОЗ.</w:t>
      </w:r>
    </w:p>
    <w:p>
      <w:pPr>
        <w:pStyle w:val="0"/>
        <w:spacing w:before="200" w:line-rule="auto"/>
        <w:ind w:firstLine="540"/>
        <w:jc w:val="both"/>
      </w:pPr>
      <w:r>
        <w:rPr>
          <w:sz w:val="20"/>
        </w:rPr>
        <w:t xml:space="preserve">3. Налог и авансовые платежи перечисляются налогоплательщиками на казначейский счет для осуществления и отражения операций по учету и распределению поступлений, открытый территориальному органу Федерального казначейства.</w:t>
      </w:r>
    </w:p>
    <w:p>
      <w:pPr>
        <w:pStyle w:val="0"/>
        <w:jc w:val="both"/>
      </w:pPr>
      <w:r>
        <w:rPr>
          <w:sz w:val="20"/>
        </w:rPr>
        <w:t xml:space="preserve">(в ред. Законов Новосибирской области от 03.05.2012 </w:t>
      </w:r>
      <w:hyperlink w:history="0" r:id="rId190"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06.05.2022 </w:t>
      </w:r>
      <w:hyperlink w:history="0" r:id="rId191" w:tooltip="Закон Новосибирской области от 06.05.2022 N 205-ОЗ &quot;О внесении изменений в статьи 2.3 и 4.3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4.2022 N 205-ЗС) {КонсультантПлюс}">
        <w:r>
          <w:rPr>
            <w:sz w:val="20"/>
            <w:color w:val="0000ff"/>
          </w:rPr>
          <w:t xml:space="preserve">N 205-ОЗ</w:t>
        </w:r>
      </w:hyperlink>
      <w:r>
        <w:rPr>
          <w:sz w:val="20"/>
        </w:rPr>
        <w:t xml:space="preserve">)</w:t>
      </w:r>
    </w:p>
    <w:p>
      <w:pPr>
        <w:pStyle w:val="0"/>
      </w:pPr>
      <w:r>
        <w:rPr>
          <w:sz w:val="20"/>
        </w:rPr>
      </w:r>
    </w:p>
    <w:p>
      <w:pPr>
        <w:pStyle w:val="2"/>
        <w:outlineLvl w:val="3"/>
        <w:ind w:firstLine="540"/>
        <w:jc w:val="both"/>
      </w:pPr>
      <w:r>
        <w:rPr>
          <w:sz w:val="20"/>
        </w:rPr>
        <w:t xml:space="preserve">Статья 4.4. Утратила силу с 1 января 2008 года. - </w:t>
      </w:r>
      <w:hyperlink w:history="0" r:id="rId192" w:tooltip="Закон Новосибирской области от 02.11.2007 N 16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0-ОСД) {КонсультантПлюс}">
        <w:r>
          <w:rPr>
            <w:sz w:val="20"/>
            <w:color w:val="0000ff"/>
          </w:rPr>
          <w:t xml:space="preserve">Закон</w:t>
        </w:r>
      </w:hyperlink>
      <w:r>
        <w:rPr>
          <w:sz w:val="20"/>
        </w:rPr>
        <w:t xml:space="preserve"> Новосибирской области от 02.11.2007 N 160-ОЗ.</w:t>
      </w:r>
    </w:p>
    <w:p>
      <w:pPr>
        <w:pStyle w:val="0"/>
        <w:ind w:firstLine="540"/>
        <w:jc w:val="both"/>
      </w:pPr>
      <w:r>
        <w:rPr>
          <w:sz w:val="20"/>
        </w:rPr>
      </w:r>
    </w:p>
    <w:p>
      <w:pPr>
        <w:pStyle w:val="2"/>
        <w:outlineLvl w:val="3"/>
        <w:ind w:firstLine="540"/>
        <w:jc w:val="both"/>
      </w:pPr>
      <w:r>
        <w:rPr>
          <w:sz w:val="20"/>
        </w:rPr>
        <w:t xml:space="preserve">Статья 4.5. Особенности определения налоговой базы отдельных объектов недвижимого имущества</w:t>
      </w:r>
    </w:p>
    <w:p>
      <w:pPr>
        <w:pStyle w:val="0"/>
        <w:ind w:firstLine="540"/>
        <w:jc w:val="both"/>
      </w:pPr>
      <w:r>
        <w:rPr>
          <w:sz w:val="20"/>
        </w:rPr>
        <w:t xml:space="preserve">(введена </w:t>
      </w:r>
      <w:hyperlink w:history="0" r:id="rId193" w:tooltip="Закон Новосибирской области от 24.11.2014 N 48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4 N 482-ЗС) {КонсультантПлюс}">
        <w:r>
          <w:rPr>
            <w:sz w:val="20"/>
            <w:color w:val="0000ff"/>
          </w:rPr>
          <w:t xml:space="preserve">Законом</w:t>
        </w:r>
      </w:hyperlink>
      <w:r>
        <w:rPr>
          <w:sz w:val="20"/>
        </w:rPr>
        <w:t xml:space="preserve"> Новосибирской области от 24.11.2014 N 482-ОЗ)</w:t>
      </w:r>
    </w:p>
    <w:p>
      <w:pPr>
        <w:pStyle w:val="0"/>
        <w:ind w:firstLine="540"/>
        <w:jc w:val="both"/>
      </w:pPr>
      <w:r>
        <w:rPr>
          <w:sz w:val="20"/>
        </w:rPr>
      </w:r>
    </w:p>
    <w:bookmarkStart w:id="380" w:name="P380"/>
    <w:bookmarkEnd w:id="380"/>
    <w:p>
      <w:pPr>
        <w:pStyle w:val="0"/>
        <w:ind w:firstLine="540"/>
        <w:jc w:val="both"/>
      </w:pPr>
      <w:r>
        <w:rPr>
          <w:sz w:val="20"/>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pPr>
        <w:pStyle w:val="0"/>
        <w:jc w:val="both"/>
      </w:pPr>
      <w:r>
        <w:rPr>
          <w:sz w:val="20"/>
        </w:rPr>
        <w:t xml:space="preserve">(в ред. </w:t>
      </w:r>
      <w:hyperlink w:history="0" r:id="rId194"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Закона</w:t>
        </w:r>
      </w:hyperlink>
      <w:r>
        <w:rPr>
          <w:sz w:val="20"/>
        </w:rPr>
        <w:t xml:space="preserve"> Новосибирской области от 29.05.2017 N 166-ОЗ)</w:t>
      </w:r>
    </w:p>
    <w:bookmarkStart w:id="382" w:name="P382"/>
    <w:bookmarkEnd w:id="382"/>
    <w:p>
      <w:pPr>
        <w:pStyle w:val="0"/>
        <w:spacing w:before="200" w:line-rule="auto"/>
        <w:ind w:firstLine="540"/>
        <w:jc w:val="both"/>
      </w:pPr>
      <w:r>
        <w:rPr>
          <w:sz w:val="20"/>
        </w:rPr>
        <w:t xml:space="preserve">1) административно-деловые центры и торговые центры (комплексы) общей площадью свыше 3000 квадратных метров и помещения в них;</w:t>
      </w:r>
    </w:p>
    <w:bookmarkStart w:id="383" w:name="P383"/>
    <w:bookmarkEnd w:id="383"/>
    <w:p>
      <w:pPr>
        <w:pStyle w:val="0"/>
        <w:spacing w:before="200" w:line-rule="auto"/>
        <w:ind w:firstLine="540"/>
        <w:jc w:val="both"/>
      </w:pPr>
      <w:r>
        <w:rPr>
          <w:sz w:val="20"/>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расположенные в отдельно стоящих нежилых зданиях (строениях, сооружениях) общей площадью свыше 3000 квадратных метров или в многоквартирных домах, общая площадь нежилых помещений в которых превышает 3000 квадратных метров;</w:t>
      </w:r>
    </w:p>
    <w:p>
      <w:pPr>
        <w:pStyle w:val="0"/>
        <w:jc w:val="both"/>
      </w:pPr>
      <w:r>
        <w:rPr>
          <w:sz w:val="20"/>
        </w:rPr>
        <w:t xml:space="preserve">(в ред. </w:t>
      </w:r>
      <w:hyperlink w:history="0" r:id="rId195"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Закона</w:t>
        </w:r>
      </w:hyperlink>
      <w:r>
        <w:rPr>
          <w:sz w:val="20"/>
        </w:rPr>
        <w:t xml:space="preserve"> Новосибирской области от 29.05.2017 N 166-ОЗ)</w:t>
      </w:r>
    </w:p>
    <w:bookmarkStart w:id="385" w:name="P385"/>
    <w:bookmarkEnd w:id="385"/>
    <w:p>
      <w:pPr>
        <w:pStyle w:val="0"/>
        <w:spacing w:before="200" w:line-rule="auto"/>
        <w:ind w:firstLine="540"/>
        <w:jc w:val="both"/>
      </w:pPr>
      <w:r>
        <w:rPr>
          <w:sz w:val="20"/>
        </w:rPr>
        <w:t xml:space="preserve">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bookmarkStart w:id="386" w:name="P386"/>
    <w:bookmarkEnd w:id="386"/>
    <w:p>
      <w:pPr>
        <w:pStyle w:val="0"/>
        <w:spacing w:before="200" w:line-rule="auto"/>
        <w:ind w:firstLine="540"/>
        <w:jc w:val="both"/>
      </w:pPr>
      <w:r>
        <w:rPr>
          <w:sz w:val="20"/>
        </w:rPr>
        <w:t xml:space="preserve">4) жилые дома, квартиры, комнаты.</w:t>
      </w:r>
    </w:p>
    <w:p>
      <w:pPr>
        <w:pStyle w:val="0"/>
        <w:jc w:val="both"/>
      </w:pPr>
      <w:r>
        <w:rPr>
          <w:sz w:val="20"/>
        </w:rPr>
        <w:t xml:space="preserve">(пп. 4 в ред. </w:t>
      </w:r>
      <w:hyperlink w:history="0" r:id="rId196"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p>
      <w:pPr>
        <w:pStyle w:val="0"/>
        <w:spacing w:before="200" w:line-rule="auto"/>
        <w:ind w:firstLine="540"/>
        <w:jc w:val="both"/>
      </w:pPr>
      <w:r>
        <w:rPr>
          <w:sz w:val="20"/>
        </w:rPr>
        <w:t xml:space="preserve">2. Особенности определения налоговой базы отдельных объектов недвижимого имущества, определенные </w:t>
      </w:r>
      <w:hyperlink w:history="0" w:anchor="P380" w:tooltip="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
        <w:r>
          <w:rPr>
            <w:sz w:val="20"/>
            <w:color w:val="0000ff"/>
          </w:rPr>
          <w:t xml:space="preserve">пунктом 1</w:t>
        </w:r>
      </w:hyperlink>
      <w:r>
        <w:rPr>
          <w:sz w:val="20"/>
        </w:rPr>
        <w:t xml:space="preserve"> настоящей статьи, не распространяются на организации потребительской кооперации, осуществляющие свою деятельность в соответствии с </w:t>
      </w:r>
      <w:hyperlink w:history="0" r:id="rId197" w:tooltip="Закон РФ от 19.06.1992 N 3085-1 (ред. от 02.07.2013)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Российской Федерации от 19 июня 1992 года N 3085-1 "О потребительской кооперации (потребительских обществах, их союзах) в Российской Федерации".</w:t>
      </w:r>
    </w:p>
    <w:p>
      <w:pPr>
        <w:pStyle w:val="0"/>
        <w:ind w:firstLine="540"/>
        <w:jc w:val="both"/>
      </w:pPr>
      <w:r>
        <w:rPr>
          <w:sz w:val="20"/>
        </w:rPr>
      </w:r>
    </w:p>
    <w:p>
      <w:pPr>
        <w:pStyle w:val="2"/>
        <w:outlineLvl w:val="2"/>
        <w:jc w:val="center"/>
      </w:pPr>
      <w:r>
        <w:rPr>
          <w:sz w:val="20"/>
        </w:rPr>
        <w:t xml:space="preserve">Глава 4.1. ДОПОЛНИТЕЛЬНЫЕ ОСНОВАНИЯ ПРИЗНАНИЯ</w:t>
      </w:r>
    </w:p>
    <w:p>
      <w:pPr>
        <w:pStyle w:val="2"/>
        <w:jc w:val="center"/>
      </w:pPr>
      <w:r>
        <w:rPr>
          <w:sz w:val="20"/>
        </w:rPr>
        <w:t xml:space="preserve">БЕЗНАДЕЖНОЙ К ВЗЫСКАНИЮ ЗАДОЛЖЕННОСТИ</w:t>
      </w:r>
    </w:p>
    <w:p>
      <w:pPr>
        <w:pStyle w:val="0"/>
        <w:jc w:val="center"/>
      </w:pPr>
      <w:r>
        <w:rPr>
          <w:sz w:val="20"/>
        </w:rPr>
        <w:t xml:space="preserve">(в ред. Законов Новосибирской области</w:t>
      </w:r>
    </w:p>
    <w:p>
      <w:pPr>
        <w:pStyle w:val="0"/>
        <w:jc w:val="center"/>
      </w:pPr>
      <w:r>
        <w:rPr>
          <w:sz w:val="20"/>
        </w:rPr>
        <w:t xml:space="preserve">от 31.10.2014 </w:t>
      </w:r>
      <w:hyperlink w:history="0" r:id="rId198"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N 475-ОЗ</w:t>
        </w:r>
      </w:hyperlink>
      <w:r>
        <w:rPr>
          <w:sz w:val="20"/>
        </w:rPr>
        <w:t xml:space="preserve">, от 14.06.2023 </w:t>
      </w:r>
      <w:hyperlink w:history="0" r:id="rId199"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jc w:val="center"/>
      </w:pPr>
      <w:r>
        <w:rPr>
          <w:sz w:val="20"/>
        </w:rPr>
        <w:t xml:space="preserve">(введена </w:t>
      </w:r>
      <w:hyperlink w:history="0" r:id="rId200" w:tooltip="Закон Новосибирской области от 01.10.2013 N 36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об установлении дополнительного основания признания безнадежными к взысканию с физических лиц недоимки, задолженности по пеням по транспортному налогу&quot; (принят постановлением Законодательного Собрания Новосибирской области от 26.09.2013 N 363-ЗС) {КонсультантПлюс}">
        <w:r>
          <w:rPr>
            <w:sz w:val="20"/>
            <w:color w:val="0000ff"/>
          </w:rPr>
          <w:t xml:space="preserve">Законом</w:t>
        </w:r>
      </w:hyperlink>
      <w:r>
        <w:rPr>
          <w:sz w:val="20"/>
        </w:rPr>
        <w:t xml:space="preserve"> Новосибирской области</w:t>
      </w:r>
    </w:p>
    <w:p>
      <w:pPr>
        <w:pStyle w:val="0"/>
        <w:jc w:val="center"/>
      </w:pPr>
      <w:r>
        <w:rPr>
          <w:sz w:val="20"/>
        </w:rPr>
        <w:t xml:space="preserve">от 01.10.2013 N 363-ОЗ)</w:t>
      </w:r>
    </w:p>
    <w:p>
      <w:pPr>
        <w:pStyle w:val="0"/>
        <w:ind w:firstLine="540"/>
        <w:jc w:val="both"/>
      </w:pPr>
      <w:r>
        <w:rPr>
          <w:sz w:val="20"/>
        </w:rPr>
      </w:r>
    </w:p>
    <w:p>
      <w:pPr>
        <w:pStyle w:val="2"/>
        <w:outlineLvl w:val="3"/>
        <w:ind w:firstLine="540"/>
        <w:jc w:val="both"/>
      </w:pPr>
      <w:r>
        <w:rPr>
          <w:sz w:val="20"/>
        </w:rPr>
        <w:t xml:space="preserve">Статья 4.1.1. Дополнительные основания признания безнадежной к взысканию с физических лиц задолженности по транспортному налогу</w:t>
      </w:r>
    </w:p>
    <w:p>
      <w:pPr>
        <w:pStyle w:val="0"/>
        <w:jc w:val="both"/>
      </w:pPr>
      <w:r>
        <w:rPr>
          <w:sz w:val="20"/>
        </w:rPr>
        <w:t xml:space="preserve">(в ред. </w:t>
      </w:r>
      <w:hyperlink w:history="0" r:id="rId201"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ind w:firstLine="540"/>
        <w:jc w:val="both"/>
      </w:pPr>
      <w:r>
        <w:rPr>
          <w:sz w:val="20"/>
        </w:rPr>
        <w:t xml:space="preserve">(в ред. </w:t>
      </w:r>
      <w:hyperlink w:history="0" r:id="rId202" w:tooltip="Закон Новосибирской области от 25.12.2020 N 47-ОЗ &quot;О внесении изменения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2.2020 N 47-ЗС) {КонсультантПлюс}">
        <w:r>
          <w:rPr>
            <w:sz w:val="20"/>
            <w:color w:val="0000ff"/>
          </w:rPr>
          <w:t xml:space="preserve">Закона</w:t>
        </w:r>
      </w:hyperlink>
      <w:r>
        <w:rPr>
          <w:sz w:val="20"/>
        </w:rPr>
        <w:t xml:space="preserve"> Новосибирской области от 25.12.2020 N 47-ОЗ)</w:t>
      </w:r>
    </w:p>
    <w:p>
      <w:pPr>
        <w:pStyle w:val="0"/>
        <w:ind w:firstLine="540"/>
        <w:jc w:val="both"/>
      </w:pPr>
      <w:r>
        <w:rPr>
          <w:sz w:val="20"/>
        </w:rPr>
      </w:r>
    </w:p>
    <w:p>
      <w:pPr>
        <w:pStyle w:val="0"/>
        <w:ind w:firstLine="540"/>
        <w:jc w:val="both"/>
      </w:pPr>
      <w:r>
        <w:rPr>
          <w:sz w:val="20"/>
        </w:rPr>
        <w:t xml:space="preserve">1. Дополнительными основаниями признания безнадежной к взысканию с физических лиц задолженности по транспортному налогу являются:</w:t>
      </w:r>
    </w:p>
    <w:p>
      <w:pPr>
        <w:pStyle w:val="0"/>
        <w:jc w:val="both"/>
      </w:pPr>
      <w:r>
        <w:rPr>
          <w:sz w:val="20"/>
        </w:rPr>
        <w:t xml:space="preserve">(в ред. </w:t>
      </w:r>
      <w:hyperlink w:history="0" r:id="rId203"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bookmarkStart w:id="403" w:name="P403"/>
    <w:bookmarkEnd w:id="403"/>
    <w:p>
      <w:pPr>
        <w:pStyle w:val="0"/>
        <w:spacing w:before="200" w:line-rule="auto"/>
        <w:ind w:firstLine="540"/>
        <w:jc w:val="both"/>
      </w:pPr>
      <w:r>
        <w:rPr>
          <w:sz w:val="20"/>
        </w:rPr>
        <w:t xml:space="preserve">1) утрата налоговым органом возможности взыскания с физических лиц задолженности по транспортному налогу в связи с отсутствием у налогового органа основания для обращения в суд с заявлением о восстановлении пропущенного срока для повторного предъявления к исполнению исполнительного документа, возвращенного по основаниям, предусмотренным </w:t>
      </w:r>
      <w:hyperlink w:history="0" r:id="rId204" w:tooltip="Федеральный закон от 02.10.2007 N 229-ФЗ (ред. от 06.04.2024) &quot;Об исполнительном производстве&quot; ------------ Недействующая редакция {КонсультантПлюс}">
        <w:r>
          <w:rPr>
            <w:sz w:val="20"/>
            <w:color w:val="0000ff"/>
          </w:rPr>
          <w:t xml:space="preserve">пунктами 3</w:t>
        </w:r>
      </w:hyperlink>
      <w:r>
        <w:rPr>
          <w:sz w:val="20"/>
        </w:rPr>
        <w:t xml:space="preserve">, </w:t>
      </w:r>
      <w:hyperlink w:history="0" r:id="rId205" w:tooltip="Федеральный закон от 02.10.2007 N 229-ФЗ (ред. от 06.04.2024) &quot;Об исполнительном производстве&quot; ------------ Недействующая редакция {КонсультантПлюс}">
        <w:r>
          <w:rPr>
            <w:sz w:val="20"/>
            <w:color w:val="0000ff"/>
          </w:rPr>
          <w:t xml:space="preserve">4 части 1 статьи 46</w:t>
        </w:r>
      </w:hyperlink>
      <w:r>
        <w:rPr>
          <w:sz w:val="20"/>
        </w:rPr>
        <w:t xml:space="preserve"> Федерального закона от 2 октября 2007 года N 229-ФЗ "Об исполнительном производстве";</w:t>
      </w:r>
    </w:p>
    <w:p>
      <w:pPr>
        <w:pStyle w:val="0"/>
        <w:jc w:val="both"/>
      </w:pPr>
      <w:r>
        <w:rPr>
          <w:sz w:val="20"/>
        </w:rPr>
        <w:t xml:space="preserve">(в ред. </w:t>
      </w:r>
      <w:hyperlink w:history="0" r:id="rId206"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spacing w:before="200" w:line-rule="auto"/>
        <w:ind w:firstLine="540"/>
        <w:jc w:val="both"/>
      </w:pPr>
      <w:r>
        <w:rPr>
          <w:sz w:val="20"/>
        </w:rPr>
        <w:t xml:space="preserve">2) наличие задолженности по транспортному налогу, образовавшейся на 1 января 2015 года и не погашенной на дату принятия налоговым органом решения о признании безнадежной к взысканию и списанию задолженности в случае, когда указанная задолженность погашена после 1 января 2015 года;</w:t>
      </w:r>
    </w:p>
    <w:p>
      <w:pPr>
        <w:pStyle w:val="0"/>
        <w:jc w:val="both"/>
      </w:pPr>
      <w:r>
        <w:rPr>
          <w:sz w:val="20"/>
        </w:rPr>
        <w:t xml:space="preserve">(пп. 2 в ред. </w:t>
      </w:r>
      <w:hyperlink w:history="0" r:id="rId207"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spacing w:before="200" w:line-rule="auto"/>
        <w:ind w:firstLine="540"/>
        <w:jc w:val="both"/>
      </w:pPr>
      <w:r>
        <w:rPr>
          <w:sz w:val="20"/>
        </w:rPr>
        <w:t xml:space="preserve">3) действовал по 31 декабря 2021 года. - </w:t>
      </w:r>
      <w:hyperlink w:history="0" r:id="rId208" w:tooltip="Закон Новосибирской области от 25.12.2020 N 47-ОЗ &quot;О внесении изменения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2.2020 N 47-ЗС) {КонсультантПлюс}">
        <w:r>
          <w:rPr>
            <w:sz w:val="20"/>
            <w:color w:val="0000ff"/>
          </w:rPr>
          <w:t xml:space="preserve">Закон</w:t>
        </w:r>
      </w:hyperlink>
      <w:r>
        <w:rPr>
          <w:sz w:val="20"/>
        </w:rPr>
        <w:t xml:space="preserve"> Новосибирской области от 25.12.2020 N 47-ОЗ;</w:t>
      </w:r>
    </w:p>
    <w:p>
      <w:pPr>
        <w:pStyle w:val="0"/>
        <w:spacing w:before="200" w:line-rule="auto"/>
        <w:ind w:firstLine="540"/>
        <w:jc w:val="both"/>
      </w:pPr>
      <w:r>
        <w:rPr>
          <w:sz w:val="20"/>
        </w:rPr>
        <w:t xml:space="preserve">4) действовал по 31 декабря 2022 года. - </w:t>
      </w:r>
      <w:hyperlink w:history="0" r:id="rId209" w:tooltip="Закон Новосибирской области от 14.07.2022 N 219-ОЗ &quot;О внесении изменений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7.07.2022 N 219-ЗС) {КонсультантПлюс}">
        <w:r>
          <w:rPr>
            <w:sz w:val="20"/>
            <w:color w:val="0000ff"/>
          </w:rPr>
          <w:t xml:space="preserve">Закон</w:t>
        </w:r>
      </w:hyperlink>
      <w:r>
        <w:rPr>
          <w:sz w:val="20"/>
        </w:rPr>
        <w:t xml:space="preserve"> Новосибирской области от 14.07.2022 N 219-ОЗ.</w:t>
      </w:r>
    </w:p>
    <w:p>
      <w:pPr>
        <w:pStyle w:val="0"/>
        <w:spacing w:before="200" w:line-rule="auto"/>
        <w:ind w:firstLine="540"/>
        <w:jc w:val="both"/>
      </w:pPr>
      <w:r>
        <w:rPr>
          <w:sz w:val="20"/>
        </w:rPr>
        <w:t xml:space="preserve">2. Документами, подтверждающими обстоятельства признания безнадежной к взысканию с физических лиц задолженности по транспортному налогу, являются:</w:t>
      </w:r>
    </w:p>
    <w:p>
      <w:pPr>
        <w:pStyle w:val="0"/>
        <w:jc w:val="both"/>
      </w:pPr>
      <w:r>
        <w:rPr>
          <w:sz w:val="20"/>
        </w:rPr>
        <w:t xml:space="preserve">(в ред. </w:t>
      </w:r>
      <w:hyperlink w:history="0" r:id="rId210"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spacing w:before="200" w:line-rule="auto"/>
        <w:ind w:firstLine="540"/>
        <w:jc w:val="both"/>
      </w:pPr>
      <w:r>
        <w:rPr>
          <w:sz w:val="20"/>
        </w:rPr>
        <w:t xml:space="preserve">1) в случае, указанном в </w:t>
      </w:r>
      <w:hyperlink w:history="0" w:anchor="P403" w:tooltip="1) утрата налоговым органом возможности взыскания с физических лиц задолженности по транспортному налогу в связи с отсутствием у налогового органа основания для обращения в суд с заявлением о восстановлении пропущенного срока для повторного предъявления к исполнению исполнительного документа, возвращенного по основаниям, предусмотренным пунктами 3, 4 части 1 статьи 46 Федерального закона от 2 октября 2007 года N 229-ФЗ &quot;Об исполнительном производстве&quot;;">
        <w:r>
          <w:rPr>
            <w:sz w:val="20"/>
            <w:color w:val="0000ff"/>
          </w:rPr>
          <w:t xml:space="preserve">подпункте 1 пункта 1</w:t>
        </w:r>
      </w:hyperlink>
      <w:r>
        <w:rPr>
          <w:sz w:val="20"/>
        </w:rPr>
        <w:t xml:space="preserve"> настоящей статьи:</w:t>
      </w:r>
    </w:p>
    <w:p>
      <w:pPr>
        <w:pStyle w:val="0"/>
        <w:spacing w:before="200" w:line-rule="auto"/>
        <w:ind w:firstLine="540"/>
        <w:jc w:val="both"/>
      </w:pPr>
      <w:r>
        <w:rPr>
          <w:sz w:val="20"/>
        </w:rPr>
        <w:t xml:space="preserve">абзац утратил силу. - </w:t>
      </w:r>
      <w:hyperlink w:history="0" r:id="rId211"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w:t>
        </w:r>
      </w:hyperlink>
      <w:r>
        <w:rPr>
          <w:sz w:val="20"/>
        </w:rPr>
        <w:t xml:space="preserve"> Новосибирской области от 14.06.2023 N 337-ОЗ;</w:t>
      </w:r>
    </w:p>
    <w:p>
      <w:pPr>
        <w:pStyle w:val="0"/>
        <w:spacing w:before="200" w:line-rule="auto"/>
        <w:ind w:firstLine="540"/>
        <w:jc w:val="both"/>
      </w:pPr>
      <w:r>
        <w:rPr>
          <w:sz w:val="20"/>
        </w:rPr>
        <w:t xml:space="preserve">копия постановления об окончании исполнительного производства или копия постановления об окончании исполнительного производства и о возвращении взыскателю исполнительного документа;</w:t>
      </w:r>
    </w:p>
    <w:p>
      <w:pPr>
        <w:pStyle w:val="0"/>
        <w:jc w:val="both"/>
      </w:pPr>
      <w:r>
        <w:rPr>
          <w:sz w:val="20"/>
        </w:rPr>
        <w:t xml:space="preserve">(в ред. </w:t>
      </w:r>
      <w:hyperlink w:history="0" r:id="rId212" w:tooltip="Закон Новосибирской области от 14.07.2022 N 219-ОЗ &quot;О внесении изменений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7.07.2022 N 219-ЗС) {КонсультантПлюс}">
        <w:r>
          <w:rPr>
            <w:sz w:val="20"/>
            <w:color w:val="0000ff"/>
          </w:rPr>
          <w:t xml:space="preserve">Закона</w:t>
        </w:r>
      </w:hyperlink>
      <w:r>
        <w:rPr>
          <w:sz w:val="20"/>
        </w:rPr>
        <w:t xml:space="preserve"> Новосибирской области от 14.07.2022 N 219-ОЗ)</w:t>
      </w:r>
    </w:p>
    <w:p>
      <w:pPr>
        <w:pStyle w:val="0"/>
        <w:spacing w:before="200" w:line-rule="auto"/>
        <w:ind w:firstLine="540"/>
        <w:jc w:val="both"/>
      </w:pPr>
      <w:r>
        <w:rPr>
          <w:sz w:val="20"/>
        </w:rPr>
        <w:t xml:space="preserve">абзац утратил силу. - </w:t>
      </w:r>
      <w:hyperlink w:history="0" r:id="rId213"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w:t>
        </w:r>
      </w:hyperlink>
      <w:r>
        <w:rPr>
          <w:sz w:val="20"/>
        </w:rPr>
        <w:t xml:space="preserve"> Новосибирской области от 14.06.2023 N 337-ОЗ;</w:t>
      </w:r>
    </w:p>
    <w:p>
      <w:pPr>
        <w:pStyle w:val="0"/>
        <w:spacing w:before="200" w:line-rule="auto"/>
        <w:ind w:firstLine="540"/>
        <w:jc w:val="both"/>
      </w:pPr>
      <w:r>
        <w:rPr>
          <w:sz w:val="20"/>
        </w:rPr>
        <w:t xml:space="preserve">2) утратил силу. - </w:t>
      </w:r>
      <w:hyperlink w:history="0" r:id="rId214"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w:t>
        </w:r>
      </w:hyperlink>
      <w:r>
        <w:rPr>
          <w:sz w:val="20"/>
        </w:rPr>
        <w:t xml:space="preserve"> Новосибирской области от 14.06.2023 N 337-ОЗ;</w:t>
      </w:r>
    </w:p>
    <w:p>
      <w:pPr>
        <w:pStyle w:val="0"/>
        <w:spacing w:before="200" w:line-rule="auto"/>
        <w:ind w:firstLine="540"/>
        <w:jc w:val="both"/>
      </w:pPr>
      <w:r>
        <w:rPr>
          <w:sz w:val="20"/>
        </w:rPr>
        <w:t xml:space="preserve">3) действовал по 31 декабря 2021 года. - </w:t>
      </w:r>
      <w:hyperlink w:history="0" r:id="rId215" w:tooltip="Закон Новосибирской области от 25.12.2020 N 47-ОЗ &quot;О внесении изменения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2.2020 N 47-ЗС) {КонсультантПлюс}">
        <w:r>
          <w:rPr>
            <w:sz w:val="20"/>
            <w:color w:val="0000ff"/>
          </w:rPr>
          <w:t xml:space="preserve">Закон</w:t>
        </w:r>
      </w:hyperlink>
      <w:r>
        <w:rPr>
          <w:sz w:val="20"/>
        </w:rPr>
        <w:t xml:space="preserve"> Новосибирской области от 25.12.2020 N 47-ОЗ;</w:t>
      </w:r>
    </w:p>
    <w:p>
      <w:pPr>
        <w:pStyle w:val="0"/>
        <w:spacing w:before="200" w:line-rule="auto"/>
        <w:ind w:firstLine="540"/>
        <w:jc w:val="both"/>
      </w:pPr>
      <w:r>
        <w:rPr>
          <w:sz w:val="20"/>
        </w:rPr>
        <w:t xml:space="preserve">4) действовал по 31 декабря 2022 года. - </w:t>
      </w:r>
      <w:hyperlink w:history="0" r:id="rId216" w:tooltip="Закон Новосибирской области от 14.07.2022 N 219-ОЗ &quot;О внесении изменений в статью 4.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7.07.2022 N 219-ЗС) {КонсультантПлюс}">
        <w:r>
          <w:rPr>
            <w:sz w:val="20"/>
            <w:color w:val="0000ff"/>
          </w:rPr>
          <w:t xml:space="preserve">Закон</w:t>
        </w:r>
      </w:hyperlink>
      <w:r>
        <w:rPr>
          <w:sz w:val="20"/>
        </w:rPr>
        <w:t xml:space="preserve"> Новосибирской области от 14.07.2022 N 219-ОЗ.</w:t>
      </w:r>
    </w:p>
    <w:p>
      <w:pPr>
        <w:pStyle w:val="0"/>
        <w:ind w:firstLine="540"/>
        <w:jc w:val="both"/>
      </w:pPr>
      <w:r>
        <w:rPr>
          <w:sz w:val="20"/>
        </w:rPr>
      </w:r>
    </w:p>
    <w:p>
      <w:pPr>
        <w:pStyle w:val="2"/>
        <w:outlineLvl w:val="1"/>
        <w:jc w:val="center"/>
      </w:pPr>
      <w:r>
        <w:rPr>
          <w:sz w:val="20"/>
        </w:rPr>
        <w:t xml:space="preserve">Раздел III. СПЕЦИАЛЬНЫЕ НАЛОГОВЫЕ РЕЖИМЫ</w:t>
      </w:r>
    </w:p>
    <w:p>
      <w:pPr>
        <w:pStyle w:val="0"/>
        <w:jc w:val="center"/>
      </w:pPr>
      <w:r>
        <w:rPr>
          <w:sz w:val="20"/>
        </w:rPr>
        <w:t xml:space="preserve">(в ред. </w:t>
      </w:r>
      <w:hyperlink w:history="0" r:id="rId217" w:tooltip="Закон Новосибирской области от 04.11.2005 N 33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7.10.2005 N 333-ОСД) {КонсультантПлюс}">
        <w:r>
          <w:rPr>
            <w:sz w:val="20"/>
            <w:color w:val="0000ff"/>
          </w:rPr>
          <w:t xml:space="preserve">Закона</w:t>
        </w:r>
      </w:hyperlink>
      <w:r>
        <w:rPr>
          <w:sz w:val="20"/>
        </w:rPr>
        <w:t xml:space="preserve"> Новосибирской области</w:t>
      </w:r>
    </w:p>
    <w:p>
      <w:pPr>
        <w:pStyle w:val="0"/>
        <w:jc w:val="center"/>
      </w:pPr>
      <w:r>
        <w:rPr>
          <w:sz w:val="20"/>
        </w:rPr>
        <w:t xml:space="preserve">от 04.11.2005 N 333-ОЗ)</w:t>
      </w:r>
    </w:p>
    <w:p>
      <w:pPr>
        <w:pStyle w:val="0"/>
        <w:ind w:firstLine="540"/>
        <w:jc w:val="both"/>
      </w:pPr>
      <w:r>
        <w:rPr>
          <w:sz w:val="20"/>
        </w:rPr>
      </w:r>
    </w:p>
    <w:p>
      <w:pPr>
        <w:pStyle w:val="2"/>
        <w:outlineLvl w:val="2"/>
        <w:jc w:val="center"/>
      </w:pPr>
      <w:r>
        <w:rPr>
          <w:sz w:val="20"/>
        </w:rPr>
        <w:t xml:space="preserve">Глава 5. УПРОЩЕННАЯ СИСТЕМА НАЛОГООБЛОЖЕНИЯ</w:t>
      </w:r>
    </w:p>
    <w:p>
      <w:pPr>
        <w:pStyle w:val="2"/>
        <w:jc w:val="center"/>
      </w:pPr>
      <w:r>
        <w:rPr>
          <w:sz w:val="20"/>
        </w:rPr>
        <w:t xml:space="preserve">НА ОСНОВЕ ПАТЕНТА</w:t>
      </w:r>
    </w:p>
    <w:p>
      <w:pPr>
        <w:pStyle w:val="0"/>
        <w:ind w:firstLine="540"/>
        <w:jc w:val="both"/>
      </w:pPr>
      <w:r>
        <w:rPr>
          <w:sz w:val="20"/>
        </w:rPr>
      </w:r>
    </w:p>
    <w:p>
      <w:pPr>
        <w:pStyle w:val="0"/>
        <w:ind w:firstLine="540"/>
        <w:jc w:val="both"/>
      </w:pPr>
      <w:r>
        <w:rPr>
          <w:sz w:val="20"/>
        </w:rPr>
        <w:t xml:space="preserve">Утратила силу с 1 января 2013 года. - </w:t>
      </w:r>
      <w:hyperlink w:history="0" r:id="rId218" w:tooltip="Закон Новосибирской области от 29.11.2012 N 27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11.2012 N 277-ЗС) {КонсультантПлюс}">
        <w:r>
          <w:rPr>
            <w:sz w:val="20"/>
            <w:color w:val="0000ff"/>
          </w:rPr>
          <w:t xml:space="preserve">Закон</w:t>
        </w:r>
      </w:hyperlink>
      <w:r>
        <w:rPr>
          <w:sz w:val="20"/>
        </w:rPr>
        <w:t xml:space="preserve"> Новосибирской области от 29.11.2012 N 277-ОЗ.</w:t>
      </w:r>
    </w:p>
    <w:p>
      <w:pPr>
        <w:pStyle w:val="0"/>
      </w:pPr>
      <w:r>
        <w:rPr>
          <w:sz w:val="20"/>
        </w:rPr>
      </w:r>
    </w:p>
    <w:p>
      <w:pPr>
        <w:pStyle w:val="2"/>
        <w:outlineLvl w:val="2"/>
        <w:jc w:val="center"/>
      </w:pPr>
      <w:r>
        <w:rPr>
          <w:sz w:val="20"/>
        </w:rPr>
        <w:t xml:space="preserve">Глава 5.1. ПАТЕНТНАЯ СИСТЕМА НАЛОГООБЛОЖЕНИЯ</w:t>
      </w:r>
    </w:p>
    <w:p>
      <w:pPr>
        <w:pStyle w:val="0"/>
        <w:jc w:val="center"/>
      </w:pPr>
      <w:r>
        <w:rPr>
          <w:sz w:val="20"/>
        </w:rPr>
        <w:t xml:space="preserve">(введена </w:t>
      </w:r>
      <w:hyperlink w:history="0" r:id="rId219" w:tooltip="Закон Новосибирской области от 29.11.2012 N 27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11.2012 N 277-ЗС) {КонсультантПлюс}">
        <w:r>
          <w:rPr>
            <w:sz w:val="20"/>
            <w:color w:val="0000ff"/>
          </w:rPr>
          <w:t xml:space="preserve">Законом</w:t>
        </w:r>
      </w:hyperlink>
      <w:r>
        <w:rPr>
          <w:sz w:val="20"/>
        </w:rPr>
        <w:t xml:space="preserve"> Новосибирской области</w:t>
      </w:r>
    </w:p>
    <w:p>
      <w:pPr>
        <w:pStyle w:val="0"/>
        <w:jc w:val="center"/>
      </w:pPr>
      <w:r>
        <w:rPr>
          <w:sz w:val="20"/>
        </w:rPr>
        <w:t xml:space="preserve">от 29.11.2012 N 277-ОЗ)</w:t>
      </w:r>
    </w:p>
    <w:p>
      <w:pPr>
        <w:pStyle w:val="0"/>
        <w:ind w:firstLine="540"/>
        <w:jc w:val="both"/>
      </w:pPr>
      <w:r>
        <w:rPr>
          <w:sz w:val="20"/>
        </w:rPr>
      </w:r>
    </w:p>
    <w:p>
      <w:pPr>
        <w:pStyle w:val="2"/>
        <w:outlineLvl w:val="3"/>
        <w:ind w:firstLine="540"/>
        <w:jc w:val="both"/>
      </w:pPr>
      <w:r>
        <w:rPr>
          <w:sz w:val="20"/>
        </w:rPr>
        <w:t xml:space="preserve">Статья 5.1. Общие положения</w:t>
      </w:r>
    </w:p>
    <w:p>
      <w:pPr>
        <w:pStyle w:val="0"/>
        <w:ind w:firstLine="540"/>
        <w:jc w:val="both"/>
      </w:pPr>
      <w:r>
        <w:rPr>
          <w:sz w:val="20"/>
        </w:rPr>
        <w:t xml:space="preserve">(в ред. </w:t>
      </w:r>
      <w:hyperlink w:history="0" r:id="rId220"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p>
      <w:pPr>
        <w:pStyle w:val="0"/>
        <w:ind w:firstLine="540"/>
        <w:jc w:val="both"/>
      </w:pPr>
      <w:r>
        <w:rPr>
          <w:sz w:val="20"/>
        </w:rPr>
      </w:r>
    </w:p>
    <w:p>
      <w:pPr>
        <w:pStyle w:val="0"/>
        <w:ind w:firstLine="540"/>
        <w:jc w:val="both"/>
      </w:pPr>
      <w:r>
        <w:rPr>
          <w:sz w:val="20"/>
        </w:rPr>
        <w:t xml:space="preserve">Настоящей главой в соответствии с </w:t>
      </w:r>
      <w:hyperlink w:history="0" r:id="rId221"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главой 26.5</w:t>
        </w:r>
      </w:hyperlink>
      <w:r>
        <w:rPr>
          <w:sz w:val="20"/>
        </w:rPr>
        <w:t xml:space="preserve"> Налогового кодекса Российской Федерации вводится в действие на территории Новосибирской области патентная система налогообложения и устанавливаются:</w:t>
      </w:r>
    </w:p>
    <w:p>
      <w:pPr>
        <w:pStyle w:val="0"/>
        <w:spacing w:before="200" w:line-rule="auto"/>
        <w:ind w:firstLine="540"/>
        <w:jc w:val="both"/>
      </w:pPr>
      <w:r>
        <w:rPr>
          <w:sz w:val="20"/>
        </w:rPr>
        <w:t xml:space="preserve">1) перечень видов предпринимательской деятельности, в отношении которых применяется (может применяться) патентная система налогообложения;</w:t>
      </w:r>
    </w:p>
    <w:p>
      <w:pPr>
        <w:pStyle w:val="0"/>
        <w:jc w:val="both"/>
      </w:pPr>
      <w:r>
        <w:rPr>
          <w:sz w:val="20"/>
        </w:rPr>
        <w:t xml:space="preserve">(пп. 1 в ред. </w:t>
      </w:r>
      <w:hyperlink w:history="0" r:id="rId22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2)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pPr>
        <w:pStyle w:val="0"/>
        <w:spacing w:before="200" w:line-rule="auto"/>
        <w:ind w:firstLine="540"/>
        <w:jc w:val="both"/>
      </w:pPr>
      <w:r>
        <w:rPr>
          <w:sz w:val="20"/>
        </w:rPr>
        <w:t xml:space="preserve">на единицу средней численности наемных работников;</w:t>
      </w:r>
    </w:p>
    <w:p>
      <w:pPr>
        <w:pStyle w:val="0"/>
        <w:spacing w:before="200" w:line-rule="auto"/>
        <w:ind w:firstLine="540"/>
        <w:jc w:val="both"/>
      </w:pPr>
      <w:r>
        <w:rPr>
          <w:sz w:val="20"/>
        </w:rPr>
        <w:t xml:space="preserve">на единицу автотранспортных средств, судов водного транспорта;</w:t>
      </w:r>
    </w:p>
    <w:p>
      <w:pPr>
        <w:pStyle w:val="0"/>
        <w:spacing w:before="200" w:line-rule="auto"/>
        <w:ind w:firstLine="540"/>
        <w:jc w:val="both"/>
      </w:pPr>
      <w:r>
        <w:rPr>
          <w:sz w:val="20"/>
        </w:rPr>
        <w:t xml:space="preserve">на 1 тонну грузоподъемности транспортных средств, на одно пассажирское место;</w:t>
      </w:r>
    </w:p>
    <w:p>
      <w:pPr>
        <w:pStyle w:val="0"/>
        <w:spacing w:before="200" w:line-rule="auto"/>
        <w:ind w:firstLine="540"/>
        <w:jc w:val="both"/>
      </w:pPr>
      <w:r>
        <w:rPr>
          <w:sz w:val="20"/>
        </w:rPr>
        <w:t xml:space="preserve">на 1 квадратный метр площади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w:t>
      </w:r>
    </w:p>
    <w:p>
      <w:pPr>
        <w:pStyle w:val="0"/>
        <w:jc w:val="both"/>
      </w:pPr>
      <w:r>
        <w:rPr>
          <w:sz w:val="20"/>
        </w:rPr>
        <w:t xml:space="preserve">(в ред. </w:t>
      </w:r>
      <w:hyperlink w:history="0" r:id="rId223"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на один объект стационарной (нестационарной) торговой сети, объект организации общественного питания;</w:t>
      </w:r>
    </w:p>
    <w:p>
      <w:pPr>
        <w:pStyle w:val="0"/>
        <w:spacing w:before="200" w:line-rule="auto"/>
        <w:ind w:firstLine="540"/>
        <w:jc w:val="both"/>
      </w:pPr>
      <w:r>
        <w:rPr>
          <w:sz w:val="20"/>
        </w:rPr>
        <w:t xml:space="preserve">на 1 квадратный метр площади объекта стационарной (нестационарной) торговой сети, объекта организации общественного питания;</w:t>
      </w:r>
    </w:p>
    <w:p>
      <w:pPr>
        <w:pStyle w:val="0"/>
        <w:spacing w:before="200" w:line-rule="auto"/>
        <w:ind w:firstLine="540"/>
        <w:jc w:val="both"/>
      </w:pPr>
      <w:r>
        <w:rPr>
          <w:sz w:val="20"/>
        </w:rPr>
        <w:t xml:space="preserve">в зависимости от территории действия патента (по группам муниципальных образований);</w:t>
      </w:r>
    </w:p>
    <w:p>
      <w:pPr>
        <w:pStyle w:val="0"/>
        <w:spacing w:before="200" w:line-rule="auto"/>
        <w:ind w:firstLine="540"/>
        <w:jc w:val="both"/>
      </w:pPr>
      <w:r>
        <w:rPr>
          <w:sz w:val="20"/>
        </w:rPr>
        <w:t xml:space="preserve">на 1 квадратный метр площади стоянки для транспортных средств;</w:t>
      </w:r>
    </w:p>
    <w:p>
      <w:pPr>
        <w:pStyle w:val="0"/>
        <w:jc w:val="both"/>
      </w:pPr>
      <w:r>
        <w:rPr>
          <w:sz w:val="20"/>
        </w:rPr>
        <w:t xml:space="preserve">(абзац введен </w:t>
      </w:r>
      <w:hyperlink w:history="0" r:id="rId224"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Законом</w:t>
        </w:r>
      </w:hyperlink>
      <w:r>
        <w:rPr>
          <w:sz w:val="20"/>
        </w:rPr>
        <w:t xml:space="preserve"> Новосибирской области от 25.02.2021 N 60-ОЗ)</w:t>
      </w:r>
    </w:p>
    <w:p>
      <w:pPr>
        <w:pStyle w:val="0"/>
        <w:spacing w:before="200" w:line-rule="auto"/>
        <w:ind w:firstLine="540"/>
        <w:jc w:val="both"/>
      </w:pPr>
      <w:r>
        <w:rPr>
          <w:sz w:val="20"/>
        </w:rPr>
        <w:t xml:space="preserve">на один объект нежилого помещения;</w:t>
      </w:r>
    </w:p>
    <w:p>
      <w:pPr>
        <w:pStyle w:val="0"/>
        <w:jc w:val="both"/>
      </w:pPr>
      <w:r>
        <w:rPr>
          <w:sz w:val="20"/>
        </w:rPr>
        <w:t xml:space="preserve">(абзац введен </w:t>
      </w:r>
      <w:hyperlink w:history="0" r:id="rId225"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Законом</w:t>
        </w:r>
      </w:hyperlink>
      <w:r>
        <w:rPr>
          <w:sz w:val="20"/>
        </w:rPr>
        <w:t xml:space="preserve"> Новосибирской области от 27.11.2023 N 388-ОЗ)</w:t>
      </w:r>
    </w:p>
    <w:p>
      <w:pPr>
        <w:pStyle w:val="0"/>
        <w:spacing w:before="200" w:line-rule="auto"/>
        <w:ind w:firstLine="540"/>
        <w:jc w:val="both"/>
      </w:pPr>
      <w:r>
        <w:rPr>
          <w:sz w:val="20"/>
        </w:rPr>
        <w:t xml:space="preserve">2.1) ограничения для применения патентной системы налогообложения;</w:t>
      </w:r>
    </w:p>
    <w:p>
      <w:pPr>
        <w:pStyle w:val="0"/>
        <w:jc w:val="both"/>
      </w:pPr>
      <w:r>
        <w:rPr>
          <w:sz w:val="20"/>
        </w:rPr>
        <w:t xml:space="preserve">(пп. 2.1 введен </w:t>
      </w:r>
      <w:hyperlink w:history="0" r:id="rId22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Законом</w:t>
        </w:r>
      </w:hyperlink>
      <w:r>
        <w:rPr>
          <w:sz w:val="20"/>
        </w:rPr>
        <w:t xml:space="preserve"> Новосибирской области от 25.02.2021 N 60-ОЗ)</w:t>
      </w:r>
    </w:p>
    <w:p>
      <w:pPr>
        <w:pStyle w:val="0"/>
        <w:spacing w:before="200" w:line-rule="auto"/>
        <w:ind w:firstLine="540"/>
        <w:jc w:val="both"/>
      </w:pPr>
      <w:r>
        <w:rPr>
          <w:sz w:val="20"/>
        </w:rPr>
        <w:t xml:space="preserve">3) виды предпринимательской деятельности, в отношении которых устанавливается налоговая ставка в размере 0 процентов.</w:t>
      </w:r>
    </w:p>
    <w:p>
      <w:pPr>
        <w:pStyle w:val="0"/>
        <w:ind w:firstLine="540"/>
        <w:jc w:val="both"/>
      </w:pPr>
      <w:r>
        <w:rPr>
          <w:sz w:val="20"/>
        </w:rPr>
      </w:r>
    </w:p>
    <w:p>
      <w:pPr>
        <w:pStyle w:val="2"/>
        <w:outlineLvl w:val="3"/>
        <w:ind w:firstLine="540"/>
        <w:jc w:val="both"/>
      </w:pPr>
      <w:r>
        <w:rPr>
          <w:sz w:val="20"/>
        </w:rPr>
        <w:t xml:space="preserve">Статья 5.2. Виды предпринимательской деятельности, в отношении которых применяется (может применяться) патентная система налогообложения</w:t>
      </w:r>
    </w:p>
    <w:p>
      <w:pPr>
        <w:pStyle w:val="0"/>
        <w:jc w:val="both"/>
      </w:pPr>
      <w:r>
        <w:rPr>
          <w:sz w:val="20"/>
        </w:rPr>
        <w:t xml:space="preserve">(в ред. </w:t>
      </w:r>
      <w:hyperlink w:history="0" r:id="rId227"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ind w:firstLine="540"/>
        <w:jc w:val="both"/>
      </w:pPr>
      <w:r>
        <w:rPr>
          <w:sz w:val="20"/>
        </w:rPr>
      </w:r>
    </w:p>
    <w:p>
      <w:pPr>
        <w:pStyle w:val="0"/>
        <w:ind w:firstLine="540"/>
        <w:jc w:val="both"/>
      </w:pPr>
      <w:r>
        <w:rPr>
          <w:sz w:val="20"/>
        </w:rPr>
        <w:t xml:space="preserve">1. Патентная система налогообложения применяется в отношении видов предпринимательской деятельности, </w:t>
      </w:r>
      <w:hyperlink w:history="0" w:anchor="P1037" w:tooltip="ПЕРЕЧЕНЬ">
        <w:r>
          <w:rPr>
            <w:sz w:val="20"/>
            <w:color w:val="0000ff"/>
          </w:rPr>
          <w:t xml:space="preserve">перечень</w:t>
        </w:r>
      </w:hyperlink>
      <w:r>
        <w:rPr>
          <w:sz w:val="20"/>
        </w:rPr>
        <w:t xml:space="preserve"> которых установлен в приложении 1 к настоящему Закону (далее - приложение 1).</w:t>
      </w:r>
    </w:p>
    <w:p>
      <w:pPr>
        <w:pStyle w:val="0"/>
        <w:jc w:val="both"/>
      </w:pPr>
      <w:r>
        <w:rPr>
          <w:sz w:val="20"/>
        </w:rPr>
        <w:t xml:space="preserve">(в ред. </w:t>
      </w:r>
      <w:hyperlink w:history="0" r:id="rId22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2. Патентная система налогообложения может применяться в отношении видов предпринимательской деятельности, </w:t>
      </w:r>
      <w:hyperlink w:history="0" w:anchor="P2045" w:tooltip="ПЕРЕЧЕНЬ">
        <w:r>
          <w:rPr>
            <w:sz w:val="20"/>
            <w:color w:val="0000ff"/>
          </w:rPr>
          <w:t xml:space="preserve">перечень</w:t>
        </w:r>
      </w:hyperlink>
      <w:r>
        <w:rPr>
          <w:sz w:val="20"/>
        </w:rPr>
        <w:t xml:space="preserve"> которых установлен в приложении 2 к настоящему Закону (далее - приложение 2).</w:t>
      </w:r>
    </w:p>
    <w:p>
      <w:pPr>
        <w:pStyle w:val="0"/>
        <w:jc w:val="both"/>
      </w:pPr>
      <w:r>
        <w:rPr>
          <w:sz w:val="20"/>
        </w:rPr>
        <w:t xml:space="preserve">(п. 2 в ред. </w:t>
      </w:r>
      <w:hyperlink w:history="0" r:id="rId22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ind w:firstLine="540"/>
        <w:jc w:val="both"/>
      </w:pPr>
      <w:r>
        <w:rPr>
          <w:sz w:val="20"/>
        </w:rPr>
      </w:r>
    </w:p>
    <w:p>
      <w:pPr>
        <w:pStyle w:val="2"/>
        <w:outlineLvl w:val="3"/>
        <w:ind w:firstLine="540"/>
        <w:jc w:val="both"/>
      </w:pPr>
      <w:r>
        <w:rPr>
          <w:sz w:val="20"/>
        </w:rPr>
        <w:t xml:space="preserve">Статья 5.3. 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w:t>
      </w:r>
    </w:p>
    <w:p>
      <w:pPr>
        <w:pStyle w:val="0"/>
        <w:ind w:firstLine="540"/>
        <w:jc w:val="both"/>
      </w:pPr>
      <w:r>
        <w:rPr>
          <w:sz w:val="20"/>
        </w:rPr>
        <w:t xml:space="preserve">(в ред. </w:t>
      </w:r>
      <w:hyperlink w:history="0" r:id="rId230"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p>
      <w:pPr>
        <w:pStyle w:val="0"/>
        <w:ind w:firstLine="540"/>
        <w:jc w:val="both"/>
      </w:pPr>
      <w:r>
        <w:rPr>
          <w:sz w:val="20"/>
        </w:rPr>
      </w:r>
    </w:p>
    <w:p>
      <w:pPr>
        <w:pStyle w:val="0"/>
        <w:ind w:firstLine="540"/>
        <w:jc w:val="both"/>
      </w:pPr>
      <w:r>
        <w:rPr>
          <w:sz w:val="20"/>
        </w:rPr>
        <w:t xml:space="preserve">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определяется:</w:t>
      </w:r>
    </w:p>
    <w:p>
      <w:pPr>
        <w:pStyle w:val="0"/>
        <w:jc w:val="both"/>
      </w:pPr>
      <w:r>
        <w:rPr>
          <w:sz w:val="20"/>
        </w:rPr>
        <w:t xml:space="preserve">(в ред. </w:t>
      </w:r>
      <w:hyperlink w:history="0" r:id="rId231"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1) по видам предпринимательской деятельности, указанным в </w:t>
      </w:r>
      <w:hyperlink w:history="0" w:anchor="P1055" w:tooltip="1">
        <w:r>
          <w:rPr>
            <w:sz w:val="20"/>
            <w:color w:val="0000ff"/>
          </w:rPr>
          <w:t xml:space="preserve">строках 1</w:t>
        </w:r>
      </w:hyperlink>
      <w:r>
        <w:rPr>
          <w:sz w:val="20"/>
        </w:rPr>
        <w:t xml:space="preserve"> - </w:t>
      </w:r>
      <w:hyperlink w:history="0" w:anchor="P1151" w:tooltip="9">
        <w:r>
          <w:rPr>
            <w:sz w:val="20"/>
            <w:color w:val="0000ff"/>
          </w:rPr>
          <w:t xml:space="preserve">9</w:t>
        </w:r>
      </w:hyperlink>
      <w:r>
        <w:rPr>
          <w:sz w:val="20"/>
        </w:rPr>
        <w:t xml:space="preserve">, </w:t>
      </w:r>
      <w:hyperlink w:history="0" w:anchor="P1191" w:tooltip="12">
        <w:r>
          <w:rPr>
            <w:sz w:val="20"/>
            <w:color w:val="0000ff"/>
          </w:rPr>
          <w:t xml:space="preserve">12</w:t>
        </w:r>
      </w:hyperlink>
      <w:r>
        <w:rPr>
          <w:sz w:val="20"/>
        </w:rPr>
        <w:t xml:space="preserve"> - </w:t>
      </w:r>
      <w:hyperlink w:history="0" w:anchor="P1263" w:tooltip="18">
        <w:r>
          <w:rPr>
            <w:sz w:val="20"/>
            <w:color w:val="0000ff"/>
          </w:rPr>
          <w:t xml:space="preserve">18</w:t>
        </w:r>
      </w:hyperlink>
      <w:r>
        <w:rPr>
          <w:sz w:val="20"/>
        </w:rPr>
        <w:t xml:space="preserve">, </w:t>
      </w:r>
      <w:hyperlink w:history="0" w:anchor="P1310" w:tooltip="20">
        <w:r>
          <w:rPr>
            <w:sz w:val="20"/>
            <w:color w:val="0000ff"/>
          </w:rPr>
          <w:t xml:space="preserve">20</w:t>
        </w:r>
      </w:hyperlink>
      <w:r>
        <w:rPr>
          <w:sz w:val="20"/>
        </w:rPr>
        <w:t xml:space="preserve"> - </w:t>
      </w:r>
      <w:hyperlink w:history="0" w:anchor="P1442" w:tooltip="31">
        <w:r>
          <w:rPr>
            <w:sz w:val="20"/>
            <w:color w:val="0000ff"/>
          </w:rPr>
          <w:t xml:space="preserve">31</w:t>
        </w:r>
      </w:hyperlink>
      <w:r>
        <w:rPr>
          <w:sz w:val="20"/>
        </w:rPr>
        <w:t xml:space="preserve">, </w:t>
      </w:r>
      <w:hyperlink w:history="0" w:anchor="P1462" w:tooltip="34">
        <w:r>
          <w:rPr>
            <w:sz w:val="20"/>
            <w:color w:val="0000ff"/>
          </w:rPr>
          <w:t xml:space="preserve">34</w:t>
        </w:r>
      </w:hyperlink>
      <w:r>
        <w:rPr>
          <w:sz w:val="20"/>
        </w:rPr>
        <w:t xml:space="preserve"> - </w:t>
      </w:r>
      <w:hyperlink w:history="0" w:anchor="P1582" w:tooltip="44">
        <w:r>
          <w:rPr>
            <w:sz w:val="20"/>
            <w:color w:val="0000ff"/>
          </w:rPr>
          <w:t xml:space="preserve">44</w:t>
        </w:r>
      </w:hyperlink>
      <w:r>
        <w:rPr>
          <w:sz w:val="20"/>
        </w:rPr>
        <w:t xml:space="preserve">, </w:t>
      </w:r>
      <w:hyperlink w:history="0" w:anchor="P1654" w:tooltip="49">
        <w:r>
          <w:rPr>
            <w:sz w:val="20"/>
            <w:color w:val="0000ff"/>
          </w:rPr>
          <w:t xml:space="preserve">49</w:t>
        </w:r>
      </w:hyperlink>
      <w:r>
        <w:rPr>
          <w:sz w:val="20"/>
        </w:rPr>
        <w:t xml:space="preserve"> - </w:t>
      </w:r>
      <w:hyperlink w:history="0" w:anchor="P1834" w:tooltip="64">
        <w:r>
          <w:rPr>
            <w:sz w:val="20"/>
            <w:color w:val="0000ff"/>
          </w:rPr>
          <w:t xml:space="preserve">64</w:t>
        </w:r>
      </w:hyperlink>
      <w:r>
        <w:rPr>
          <w:sz w:val="20"/>
        </w:rPr>
        <w:t xml:space="preserve">, </w:t>
      </w:r>
      <w:hyperlink w:history="0" w:anchor="P1853" w:tooltip="66">
        <w:r>
          <w:rPr>
            <w:sz w:val="20"/>
            <w:color w:val="0000ff"/>
          </w:rPr>
          <w:t xml:space="preserve">66</w:t>
        </w:r>
      </w:hyperlink>
      <w:r>
        <w:rPr>
          <w:sz w:val="20"/>
        </w:rPr>
        <w:t xml:space="preserve"> - </w:t>
      </w:r>
      <w:hyperlink w:history="0" w:anchor="P2021" w:tooltip="80">
        <w:r>
          <w:rPr>
            <w:sz w:val="20"/>
            <w:color w:val="0000ff"/>
          </w:rPr>
          <w:t xml:space="preserve">80</w:t>
        </w:r>
      </w:hyperlink>
      <w:r>
        <w:rPr>
          <w:sz w:val="20"/>
        </w:rPr>
        <w:t xml:space="preserve"> приложения 1, и по видам предпринимательской деятельности, указанным в </w:t>
      </w:r>
      <w:hyperlink w:history="0" w:anchor="P2063" w:tooltip="1">
        <w:r>
          <w:rPr>
            <w:sz w:val="20"/>
            <w:color w:val="0000ff"/>
          </w:rPr>
          <w:t xml:space="preserve">строках 1</w:t>
        </w:r>
      </w:hyperlink>
      <w:r>
        <w:rPr>
          <w:sz w:val="20"/>
        </w:rPr>
        <w:t xml:space="preserve"> - </w:t>
      </w:r>
      <w:hyperlink w:history="0" w:anchor="P2267" w:tooltip="18">
        <w:r>
          <w:rPr>
            <w:sz w:val="20"/>
            <w:color w:val="0000ff"/>
          </w:rPr>
          <w:t xml:space="preserve">18</w:t>
        </w:r>
      </w:hyperlink>
      <w:r>
        <w:rPr>
          <w:sz w:val="20"/>
        </w:rPr>
        <w:t xml:space="preserve">, </w:t>
      </w:r>
      <w:hyperlink w:history="0" w:anchor="P2300" w:tooltip="22">
        <w:r>
          <w:rPr>
            <w:sz w:val="20"/>
            <w:color w:val="0000ff"/>
          </w:rPr>
          <w:t xml:space="preserve">22</w:t>
        </w:r>
      </w:hyperlink>
      <w:r>
        <w:rPr>
          <w:sz w:val="20"/>
        </w:rPr>
        <w:t xml:space="preserve"> - </w:t>
      </w:r>
      <w:hyperlink w:history="0" w:anchor="P2444" w:tooltip="34">
        <w:r>
          <w:rPr>
            <w:sz w:val="20"/>
            <w:color w:val="0000ff"/>
          </w:rPr>
          <w:t xml:space="preserve">34</w:t>
        </w:r>
      </w:hyperlink>
      <w:r>
        <w:rPr>
          <w:sz w:val="20"/>
        </w:rPr>
        <w:t xml:space="preserve"> приложения 2:</w:t>
      </w:r>
    </w:p>
    <w:p>
      <w:pPr>
        <w:pStyle w:val="0"/>
        <w:jc w:val="both"/>
      </w:pPr>
      <w:r>
        <w:rPr>
          <w:sz w:val="20"/>
        </w:rPr>
        <w:t xml:space="preserve">(в ред. Законов Новосибирской области от 25.02.2021 </w:t>
      </w:r>
      <w:hyperlink w:history="0" r:id="rId23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N 60-ОЗ</w:t>
        </w:r>
      </w:hyperlink>
      <w:r>
        <w:rPr>
          <w:sz w:val="20"/>
        </w:rPr>
        <w:t xml:space="preserve">, от 27.11.2023 </w:t>
      </w:r>
      <w:hyperlink w:history="0" r:id="rId233"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N 388-ОЗ</w:t>
        </w:r>
      </w:hyperlink>
      <w:r>
        <w:rPr>
          <w:sz w:val="20"/>
        </w:rPr>
        <w:t xml:space="preserve">)</w:t>
      </w:r>
    </w:p>
    <w:p>
      <w:pPr>
        <w:pStyle w:val="0"/>
        <w:spacing w:before="200" w:line-rule="auto"/>
        <w:ind w:firstLine="540"/>
        <w:jc w:val="both"/>
      </w:pPr>
      <w:r>
        <w:rPr>
          <w:sz w:val="20"/>
        </w:rPr>
        <w:t xml:space="preserve">в случае отсутствия у индивидуального предпринимателя наемных работников - путем применения установленного в </w:t>
      </w:r>
      <w:hyperlink w:history="0" w:anchor="P1037" w:tooltip="ПЕРЕЧЕНЬ">
        <w:r>
          <w:rPr>
            <w:sz w:val="20"/>
            <w:color w:val="0000ff"/>
          </w:rPr>
          <w:t xml:space="preserve">приложениях 1</w:t>
        </w:r>
      </w:hyperlink>
      <w:r>
        <w:rPr>
          <w:sz w:val="20"/>
        </w:rPr>
        <w:t xml:space="preserve"> и </w:t>
      </w:r>
      <w:hyperlink w:history="0" w:anchor="P2045" w:tooltip="ПЕРЕЧЕНЬ">
        <w:r>
          <w:rPr>
            <w:sz w:val="20"/>
            <w:color w:val="0000ff"/>
          </w:rPr>
          <w:t xml:space="preserve">2</w:t>
        </w:r>
      </w:hyperlink>
      <w:r>
        <w:rPr>
          <w:sz w:val="20"/>
        </w:rPr>
        <w:t xml:space="preserve"> размера потенциально возможного к получению годового дохода без привлечения наемных работников;</w:t>
      </w:r>
    </w:p>
    <w:p>
      <w:pPr>
        <w:pStyle w:val="0"/>
        <w:spacing w:before="200" w:line-rule="auto"/>
        <w:ind w:firstLine="540"/>
        <w:jc w:val="both"/>
      </w:pPr>
      <w:r>
        <w:rPr>
          <w:sz w:val="20"/>
        </w:rPr>
        <w:t xml:space="preserve">в случае наличия у индивидуального предпринимателя наемных работников - путем умножения установленного в </w:t>
      </w:r>
      <w:hyperlink w:history="0" w:anchor="P1037" w:tooltip="ПЕРЕЧЕНЬ">
        <w:r>
          <w:rPr>
            <w:sz w:val="20"/>
            <w:color w:val="0000ff"/>
          </w:rPr>
          <w:t xml:space="preserve">приложениях 1</w:t>
        </w:r>
      </w:hyperlink>
      <w:r>
        <w:rPr>
          <w:sz w:val="20"/>
        </w:rPr>
        <w:t xml:space="preserve"> и </w:t>
      </w:r>
      <w:hyperlink w:history="0" w:anchor="P2045" w:tooltip="ПЕРЕЧЕНЬ">
        <w:r>
          <w:rPr>
            <w:sz w:val="20"/>
            <w:color w:val="0000ff"/>
          </w:rPr>
          <w:t xml:space="preserve">2</w:t>
        </w:r>
      </w:hyperlink>
      <w:r>
        <w:rPr>
          <w:sz w:val="20"/>
        </w:rPr>
        <w:t xml:space="preserve"> размера потенциально возможного к получению годового дохода на единицу средней численности наемных работников на среднюю численность наемных работников, включая индивидуального предпринимателя, за соответствующий период;</w:t>
      </w:r>
    </w:p>
    <w:p>
      <w:pPr>
        <w:pStyle w:val="0"/>
        <w:jc w:val="both"/>
      </w:pPr>
      <w:r>
        <w:rPr>
          <w:sz w:val="20"/>
        </w:rPr>
        <w:t xml:space="preserve">(в ред. </w:t>
      </w:r>
      <w:hyperlink w:history="0" r:id="rId234"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Закона</w:t>
        </w:r>
      </w:hyperlink>
      <w:r>
        <w:rPr>
          <w:sz w:val="20"/>
        </w:rPr>
        <w:t xml:space="preserve"> Новосибирской области от 27.11.2023 N 388-ОЗ)</w:t>
      </w:r>
    </w:p>
    <w:p>
      <w:pPr>
        <w:pStyle w:val="0"/>
        <w:jc w:val="both"/>
      </w:pPr>
      <w:r>
        <w:rPr>
          <w:sz w:val="20"/>
        </w:rPr>
        <w:t xml:space="preserve">(пп. 1 в ред. </w:t>
      </w:r>
      <w:hyperlink w:history="0" r:id="rId235"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2) по видам предпринимательской деятельности, указанным в </w:t>
      </w:r>
      <w:hyperlink w:history="0" w:anchor="P1167" w:tooltip="10.2">
        <w:r>
          <w:rPr>
            <w:sz w:val="20"/>
            <w:color w:val="0000ff"/>
          </w:rPr>
          <w:t xml:space="preserve">строках 10.2</w:t>
        </w:r>
      </w:hyperlink>
      <w:r>
        <w:rPr>
          <w:sz w:val="20"/>
        </w:rPr>
        <w:t xml:space="preserve"> и </w:t>
      </w:r>
      <w:hyperlink w:history="0" w:anchor="P1458" w:tooltip="33">
        <w:r>
          <w:rPr>
            <w:sz w:val="20"/>
            <w:color w:val="0000ff"/>
          </w:rPr>
          <w:t xml:space="preserve">33</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1 тонну грузоподъемности на общую грузоподъемность автотранспортных средств, судов водного транспорта;</w:t>
      </w:r>
    </w:p>
    <w:p>
      <w:pPr>
        <w:pStyle w:val="0"/>
        <w:jc w:val="both"/>
      </w:pPr>
      <w:r>
        <w:rPr>
          <w:sz w:val="20"/>
        </w:rPr>
        <w:t xml:space="preserve">(в ред. Законов Новосибирской области от 10.11.2020 </w:t>
      </w:r>
      <w:hyperlink w:history="0" r:id="rId236"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N 15-ОЗ</w:t>
        </w:r>
      </w:hyperlink>
      <w:r>
        <w:rPr>
          <w:sz w:val="20"/>
        </w:rPr>
        <w:t xml:space="preserve">, от 27.11.2023 </w:t>
      </w:r>
      <w:hyperlink w:history="0" r:id="rId237"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N 388-ОЗ</w:t>
        </w:r>
      </w:hyperlink>
      <w:r>
        <w:rPr>
          <w:sz w:val="20"/>
        </w:rPr>
        <w:t xml:space="preserve">)</w:t>
      </w:r>
    </w:p>
    <w:p>
      <w:pPr>
        <w:pStyle w:val="0"/>
        <w:spacing w:before="200" w:line-rule="auto"/>
        <w:ind w:firstLine="540"/>
        <w:jc w:val="both"/>
      </w:pPr>
      <w:r>
        <w:rPr>
          <w:sz w:val="20"/>
        </w:rPr>
        <w:t xml:space="preserve">3) по видам предпринимательской деятельности, указанным в </w:t>
      </w:r>
      <w:hyperlink w:history="0" w:anchor="P1175" w:tooltip="11.1">
        <w:r>
          <w:rPr>
            <w:sz w:val="20"/>
            <w:color w:val="0000ff"/>
          </w:rPr>
          <w:t xml:space="preserve">строках 11.1</w:t>
        </w:r>
      </w:hyperlink>
      <w:r>
        <w:rPr>
          <w:sz w:val="20"/>
        </w:rPr>
        <w:t xml:space="preserve"> - </w:t>
      </w:r>
      <w:hyperlink w:history="0" w:anchor="P1183" w:tooltip="11.3">
        <w:r>
          <w:rPr>
            <w:sz w:val="20"/>
            <w:color w:val="0000ff"/>
          </w:rPr>
          <w:t xml:space="preserve">11.3</w:t>
        </w:r>
      </w:hyperlink>
      <w:r>
        <w:rPr>
          <w:sz w:val="20"/>
        </w:rPr>
        <w:t xml:space="preserve">, </w:t>
      </w:r>
      <w:hyperlink w:history="0" w:anchor="P1454" w:tooltip="32">
        <w:r>
          <w:rPr>
            <w:sz w:val="20"/>
            <w:color w:val="0000ff"/>
          </w:rPr>
          <w:t xml:space="preserve">32</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одно пассажирское место на количество пассажирских мест;</w:t>
      </w:r>
    </w:p>
    <w:p>
      <w:pPr>
        <w:pStyle w:val="0"/>
        <w:jc w:val="both"/>
      </w:pPr>
      <w:r>
        <w:rPr>
          <w:sz w:val="20"/>
        </w:rPr>
        <w:t xml:space="preserve">(в ред. Законов Новосибирской области от 10.11.2020 </w:t>
      </w:r>
      <w:hyperlink w:history="0" r:id="rId238"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N 15-ОЗ</w:t>
        </w:r>
      </w:hyperlink>
      <w:r>
        <w:rPr>
          <w:sz w:val="20"/>
        </w:rPr>
        <w:t xml:space="preserve">, от 27.11.2023 </w:t>
      </w:r>
      <w:hyperlink w:history="0" r:id="rId239"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N 388-ОЗ</w:t>
        </w:r>
      </w:hyperlink>
      <w:r>
        <w:rPr>
          <w:sz w:val="20"/>
        </w:rPr>
        <w:t xml:space="preserve">)</w:t>
      </w:r>
    </w:p>
    <w:p>
      <w:pPr>
        <w:pStyle w:val="0"/>
        <w:spacing w:before="200" w:line-rule="auto"/>
        <w:ind w:firstLine="540"/>
        <w:jc w:val="both"/>
      </w:pPr>
      <w:r>
        <w:rPr>
          <w:sz w:val="20"/>
        </w:rPr>
        <w:t xml:space="preserve">3.1) по видам предпринимательской деятельности, указанным в </w:t>
      </w:r>
      <w:hyperlink w:history="0" w:anchor="P1163" w:tooltip="10.1">
        <w:r>
          <w:rPr>
            <w:sz w:val="20"/>
            <w:color w:val="0000ff"/>
          </w:rPr>
          <w:t xml:space="preserve">строках 10.1</w:t>
        </w:r>
      </w:hyperlink>
      <w:r>
        <w:rPr>
          <w:sz w:val="20"/>
        </w:rPr>
        <w:t xml:space="preserve">, </w:t>
      </w:r>
      <w:hyperlink w:history="0" w:anchor="P1187" w:tooltip="11.4">
        <w:r>
          <w:rPr>
            <w:sz w:val="20"/>
            <w:color w:val="0000ff"/>
          </w:rPr>
          <w:t xml:space="preserve">11.4</w:t>
        </w:r>
      </w:hyperlink>
      <w:r>
        <w:rPr>
          <w:sz w:val="20"/>
        </w:rPr>
        <w:t xml:space="preserve"> приложения 1 и в </w:t>
      </w:r>
      <w:hyperlink w:history="0" w:anchor="P2279" w:tooltip="19">
        <w:r>
          <w:rPr>
            <w:sz w:val="20"/>
            <w:color w:val="0000ff"/>
          </w:rPr>
          <w:t xml:space="preserve">строках 19</w:t>
        </w:r>
      </w:hyperlink>
      <w:r>
        <w:rPr>
          <w:sz w:val="20"/>
        </w:rPr>
        <w:t xml:space="preserve"> - </w:t>
      </w:r>
      <w:hyperlink w:history="0" w:anchor="P2293" w:tooltip="21">
        <w:r>
          <w:rPr>
            <w:sz w:val="20"/>
            <w:color w:val="0000ff"/>
          </w:rPr>
          <w:t xml:space="preserve">21</w:t>
        </w:r>
      </w:hyperlink>
      <w:r>
        <w:rPr>
          <w:sz w:val="20"/>
        </w:rPr>
        <w:t xml:space="preserve">, </w:t>
      </w:r>
      <w:hyperlink w:history="0" w:anchor="P2456" w:tooltip="35">
        <w:r>
          <w:rPr>
            <w:sz w:val="20"/>
            <w:color w:val="0000ff"/>
          </w:rPr>
          <w:t xml:space="preserve">35</w:t>
        </w:r>
      </w:hyperlink>
      <w:r>
        <w:rPr>
          <w:sz w:val="20"/>
        </w:rPr>
        <w:t xml:space="preserve"> приложения 2, - путем умножения установленного в </w:t>
      </w:r>
      <w:hyperlink w:history="0" w:anchor="P1037" w:tooltip="ПЕРЕЧЕНЬ">
        <w:r>
          <w:rPr>
            <w:sz w:val="20"/>
            <w:color w:val="0000ff"/>
          </w:rPr>
          <w:t xml:space="preserve">приложениях 1</w:t>
        </w:r>
      </w:hyperlink>
      <w:r>
        <w:rPr>
          <w:sz w:val="20"/>
        </w:rPr>
        <w:t xml:space="preserve"> и </w:t>
      </w:r>
      <w:hyperlink w:history="0" w:anchor="P2045" w:tooltip="ПЕРЕЧЕНЬ">
        <w:r>
          <w:rPr>
            <w:sz w:val="20"/>
            <w:color w:val="0000ff"/>
          </w:rPr>
          <w:t xml:space="preserve">2</w:t>
        </w:r>
      </w:hyperlink>
      <w:r>
        <w:rPr>
          <w:sz w:val="20"/>
        </w:rPr>
        <w:t xml:space="preserve"> размера потенциально возможного к получению годового дохода на единицу автотранспортных средств, судов водного транспорта на общее количество автотранспортных средств, судов водного транспорта;</w:t>
      </w:r>
    </w:p>
    <w:p>
      <w:pPr>
        <w:pStyle w:val="0"/>
        <w:jc w:val="both"/>
      </w:pPr>
      <w:r>
        <w:rPr>
          <w:sz w:val="20"/>
        </w:rPr>
        <w:t xml:space="preserve">(пп. 3.1 введен </w:t>
      </w:r>
      <w:hyperlink w:history="0" r:id="rId240"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Законом</w:t>
        </w:r>
      </w:hyperlink>
      <w:r>
        <w:rPr>
          <w:sz w:val="20"/>
        </w:rPr>
        <w:t xml:space="preserve"> Новосибирской области от 27.11.2023 N 388-ОЗ)</w:t>
      </w:r>
    </w:p>
    <w:p>
      <w:pPr>
        <w:pStyle w:val="0"/>
        <w:spacing w:before="200" w:line-rule="auto"/>
        <w:ind w:firstLine="540"/>
        <w:jc w:val="both"/>
      </w:pPr>
      <w:r>
        <w:rPr>
          <w:sz w:val="20"/>
        </w:rPr>
        <w:t xml:space="preserve">4) по видам предпринимательской деятельности, указанным в </w:t>
      </w:r>
      <w:hyperlink w:history="0" w:anchor="P1282" w:tooltip="19.1">
        <w:r>
          <w:rPr>
            <w:sz w:val="20"/>
            <w:color w:val="0000ff"/>
          </w:rPr>
          <w:t xml:space="preserve">строках 19.1</w:t>
        </w:r>
      </w:hyperlink>
      <w:r>
        <w:rPr>
          <w:sz w:val="20"/>
        </w:rPr>
        <w:t xml:space="preserve">, </w:t>
      </w:r>
      <w:hyperlink w:history="0" w:anchor="P1296" w:tooltip="19.3">
        <w:r>
          <w:rPr>
            <w:sz w:val="20"/>
            <w:color w:val="0000ff"/>
          </w:rPr>
          <w:t xml:space="preserve">19.3</w:t>
        </w:r>
      </w:hyperlink>
      <w:r>
        <w:rPr>
          <w:sz w:val="20"/>
        </w:rPr>
        <w:t xml:space="preserve">, </w:t>
      </w:r>
      <w:hyperlink w:history="0" w:anchor="P1303" w:tooltip="19.4">
        <w:r>
          <w:rPr>
            <w:sz w:val="20"/>
            <w:color w:val="0000ff"/>
          </w:rPr>
          <w:t xml:space="preserve">19.4</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1 квадратный метр площади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 на общую площадь сдаваемого в аренду (наем) собственного или арендованного жилого помещения и (или) нежилого помещения (включая выставочные залы, складские помещения), земельного участка;</w:t>
      </w:r>
    </w:p>
    <w:p>
      <w:pPr>
        <w:pStyle w:val="0"/>
        <w:jc w:val="both"/>
      </w:pPr>
      <w:r>
        <w:rPr>
          <w:sz w:val="20"/>
        </w:rPr>
        <w:t xml:space="preserve">(в ред. Законов Новосибирской области от 25.02.2021 </w:t>
      </w:r>
      <w:hyperlink w:history="0" r:id="rId241"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N 60-ОЗ</w:t>
        </w:r>
      </w:hyperlink>
      <w:r>
        <w:rPr>
          <w:sz w:val="20"/>
        </w:rPr>
        <w:t xml:space="preserve">, от 27.11.2023 </w:t>
      </w:r>
      <w:hyperlink w:history="0" r:id="rId242"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N 388-ОЗ</w:t>
        </w:r>
      </w:hyperlink>
      <w:r>
        <w:rPr>
          <w:sz w:val="20"/>
        </w:rPr>
        <w:t xml:space="preserve">)</w:t>
      </w:r>
    </w:p>
    <w:p>
      <w:pPr>
        <w:pStyle w:val="0"/>
        <w:spacing w:before="200" w:line-rule="auto"/>
        <w:ind w:firstLine="540"/>
        <w:jc w:val="both"/>
      </w:pPr>
      <w:r>
        <w:rPr>
          <w:sz w:val="20"/>
        </w:rPr>
        <w:t xml:space="preserve">4.1) по виду предпринимательской деятельности, указанному в </w:t>
      </w:r>
      <w:hyperlink w:history="0" w:anchor="P1289" w:tooltip="19.2">
        <w:r>
          <w:rPr>
            <w:sz w:val="20"/>
            <w:color w:val="0000ff"/>
          </w:rPr>
          <w:t xml:space="preserve">строке 19.2</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один объект нежилого помещения на общее количество объектов нежилых помещений;</w:t>
      </w:r>
    </w:p>
    <w:p>
      <w:pPr>
        <w:pStyle w:val="0"/>
        <w:jc w:val="both"/>
      </w:pPr>
      <w:r>
        <w:rPr>
          <w:sz w:val="20"/>
        </w:rPr>
        <w:t xml:space="preserve">(пп. 4.1 введен </w:t>
      </w:r>
      <w:hyperlink w:history="0" r:id="rId243"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Законом</w:t>
        </w:r>
      </w:hyperlink>
      <w:r>
        <w:rPr>
          <w:sz w:val="20"/>
        </w:rPr>
        <w:t xml:space="preserve"> Новосибирской области от 27.11.2023 N 388-ОЗ)</w:t>
      </w:r>
    </w:p>
    <w:p>
      <w:pPr>
        <w:pStyle w:val="0"/>
        <w:spacing w:before="200" w:line-rule="auto"/>
        <w:ind w:firstLine="540"/>
        <w:jc w:val="both"/>
      </w:pPr>
      <w:r>
        <w:rPr>
          <w:sz w:val="20"/>
        </w:rPr>
        <w:t xml:space="preserve">5) по видам предпринимательской деятельности, указанным в </w:t>
      </w:r>
      <w:hyperlink w:history="0" w:anchor="P1601" w:tooltip="45.2">
        <w:r>
          <w:rPr>
            <w:sz w:val="20"/>
            <w:color w:val="0000ff"/>
          </w:rPr>
          <w:t xml:space="preserve">строках 45.2</w:t>
        </w:r>
      </w:hyperlink>
      <w:r>
        <w:rPr>
          <w:sz w:val="20"/>
        </w:rPr>
        <w:t xml:space="preserve">, </w:t>
      </w:r>
      <w:hyperlink w:history="0" w:anchor="P1615" w:tooltip="46.2">
        <w:r>
          <w:rPr>
            <w:sz w:val="20"/>
            <w:color w:val="0000ff"/>
          </w:rPr>
          <w:t xml:space="preserve">46.2</w:t>
        </w:r>
      </w:hyperlink>
      <w:r>
        <w:rPr>
          <w:sz w:val="20"/>
        </w:rPr>
        <w:t xml:space="preserve">, </w:t>
      </w:r>
      <w:hyperlink w:history="0" w:anchor="P1633" w:tooltip="47.2">
        <w:r>
          <w:rPr>
            <w:sz w:val="20"/>
            <w:color w:val="0000ff"/>
          </w:rPr>
          <w:t xml:space="preserve">47.2</w:t>
        </w:r>
      </w:hyperlink>
      <w:r>
        <w:rPr>
          <w:sz w:val="20"/>
        </w:rPr>
        <w:t xml:space="preserve">, </w:t>
      </w:r>
      <w:hyperlink w:history="0" w:anchor="P1647" w:tooltip="48.2">
        <w:r>
          <w:rPr>
            <w:sz w:val="20"/>
            <w:color w:val="0000ff"/>
          </w:rPr>
          <w:t xml:space="preserve">48.2</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1 квадратный метр площади объекта стационарной (нестационарной) торговой сети, объекта организации общественного питания на общую площадь объекта стационарной (нестационарной) торговой сети, объекта организации общественного питания;</w:t>
      </w:r>
    </w:p>
    <w:p>
      <w:pPr>
        <w:pStyle w:val="0"/>
        <w:jc w:val="both"/>
      </w:pPr>
      <w:r>
        <w:rPr>
          <w:sz w:val="20"/>
        </w:rPr>
        <w:t xml:space="preserve">(пп. 5 в ред. </w:t>
      </w:r>
      <w:hyperlink w:history="0" r:id="rId244"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Закона</w:t>
        </w:r>
      </w:hyperlink>
      <w:r>
        <w:rPr>
          <w:sz w:val="20"/>
        </w:rPr>
        <w:t xml:space="preserve"> Новосибирской области от 27.11.2023 N 388-ОЗ)</w:t>
      </w:r>
    </w:p>
    <w:p>
      <w:pPr>
        <w:pStyle w:val="0"/>
        <w:spacing w:before="200" w:line-rule="auto"/>
        <w:ind w:firstLine="540"/>
        <w:jc w:val="both"/>
      </w:pPr>
      <w:r>
        <w:rPr>
          <w:sz w:val="20"/>
        </w:rPr>
        <w:t xml:space="preserve">6) по видам предпринимательской деятельности, указанным в </w:t>
      </w:r>
      <w:hyperlink w:history="0" w:anchor="P1594" w:tooltip="45.1">
        <w:r>
          <w:rPr>
            <w:sz w:val="20"/>
            <w:color w:val="0000ff"/>
          </w:rPr>
          <w:t xml:space="preserve">строках 45.1</w:t>
        </w:r>
      </w:hyperlink>
      <w:r>
        <w:rPr>
          <w:sz w:val="20"/>
        </w:rPr>
        <w:t xml:space="preserve">, </w:t>
      </w:r>
      <w:hyperlink w:history="0" w:anchor="P1608" w:tooltip="46.1">
        <w:r>
          <w:rPr>
            <w:sz w:val="20"/>
            <w:color w:val="0000ff"/>
          </w:rPr>
          <w:t xml:space="preserve">46.1</w:t>
        </w:r>
      </w:hyperlink>
      <w:r>
        <w:rPr>
          <w:sz w:val="20"/>
        </w:rPr>
        <w:t xml:space="preserve">, </w:t>
      </w:r>
      <w:hyperlink w:history="0" w:anchor="P1622" w:tooltip="46.3">
        <w:r>
          <w:rPr>
            <w:sz w:val="20"/>
            <w:color w:val="0000ff"/>
          </w:rPr>
          <w:t xml:space="preserve">46.3</w:t>
        </w:r>
      </w:hyperlink>
      <w:r>
        <w:rPr>
          <w:sz w:val="20"/>
        </w:rPr>
        <w:t xml:space="preserve">, </w:t>
      </w:r>
      <w:hyperlink w:history="0" w:anchor="P1626" w:tooltip="47.1">
        <w:r>
          <w:rPr>
            <w:sz w:val="20"/>
            <w:color w:val="0000ff"/>
          </w:rPr>
          <w:t xml:space="preserve">47.1</w:t>
        </w:r>
      </w:hyperlink>
      <w:r>
        <w:rPr>
          <w:sz w:val="20"/>
        </w:rPr>
        <w:t xml:space="preserve">, </w:t>
      </w:r>
      <w:hyperlink w:history="0" w:anchor="P1640" w:tooltip="48.1">
        <w:r>
          <w:rPr>
            <w:sz w:val="20"/>
            <w:color w:val="0000ff"/>
          </w:rPr>
          <w:t xml:space="preserve">48.1</w:t>
        </w:r>
      </w:hyperlink>
      <w:r>
        <w:rPr>
          <w:sz w:val="20"/>
        </w:rPr>
        <w:t xml:space="preserve"> приложения 1 и в </w:t>
      </w:r>
      <w:hyperlink w:history="0" w:anchor="P2463" w:tooltip="36">
        <w:r>
          <w:rPr>
            <w:sz w:val="20"/>
            <w:color w:val="0000ff"/>
          </w:rPr>
          <w:t xml:space="preserve">строке 36</w:t>
        </w:r>
      </w:hyperlink>
      <w:r>
        <w:rPr>
          <w:sz w:val="20"/>
        </w:rPr>
        <w:t xml:space="preserve"> приложения 2, - путем умножения установленного в </w:t>
      </w:r>
      <w:hyperlink w:history="0" w:anchor="P1037" w:tooltip="ПЕРЕЧЕНЬ">
        <w:r>
          <w:rPr>
            <w:sz w:val="20"/>
            <w:color w:val="0000ff"/>
          </w:rPr>
          <w:t xml:space="preserve">приложениях 1</w:t>
        </w:r>
      </w:hyperlink>
      <w:r>
        <w:rPr>
          <w:sz w:val="20"/>
        </w:rPr>
        <w:t xml:space="preserve"> и </w:t>
      </w:r>
      <w:hyperlink w:history="0" w:anchor="P2045" w:tooltip="ПЕРЕЧЕНЬ">
        <w:r>
          <w:rPr>
            <w:sz w:val="20"/>
            <w:color w:val="0000ff"/>
          </w:rPr>
          <w:t xml:space="preserve">2</w:t>
        </w:r>
      </w:hyperlink>
      <w:r>
        <w:rPr>
          <w:sz w:val="20"/>
        </w:rPr>
        <w:t xml:space="preserve"> размера потенциально возможного к получению годового дохода на один объект стационарной (нестационарной) торговой сети, объект организации общественного питания на общее количество объектов стационарной (нестационарной) торговой сети, объектов организации общественного питания;</w:t>
      </w:r>
    </w:p>
    <w:p>
      <w:pPr>
        <w:pStyle w:val="0"/>
        <w:jc w:val="both"/>
      </w:pPr>
      <w:r>
        <w:rPr>
          <w:sz w:val="20"/>
        </w:rPr>
        <w:t xml:space="preserve">(пп. 6 в ред. </w:t>
      </w:r>
      <w:hyperlink w:history="0" r:id="rId245"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Закона</w:t>
        </w:r>
      </w:hyperlink>
      <w:r>
        <w:rPr>
          <w:sz w:val="20"/>
        </w:rPr>
        <w:t xml:space="preserve"> Новосибирской области от 27.11.2023 N 388-ОЗ)</w:t>
      </w:r>
    </w:p>
    <w:p>
      <w:pPr>
        <w:pStyle w:val="0"/>
        <w:spacing w:before="200" w:line-rule="auto"/>
        <w:ind w:firstLine="540"/>
        <w:jc w:val="both"/>
      </w:pPr>
      <w:r>
        <w:rPr>
          <w:sz w:val="20"/>
        </w:rPr>
        <w:t xml:space="preserve">7) по виду предпринимательской деятельности, указанному в </w:t>
      </w:r>
      <w:hyperlink w:history="0" w:anchor="P1846" w:tooltip="65">
        <w:r>
          <w:rPr>
            <w:sz w:val="20"/>
            <w:color w:val="0000ff"/>
          </w:rPr>
          <w:t xml:space="preserve">строке 65</w:t>
        </w:r>
      </w:hyperlink>
      <w:r>
        <w:rPr>
          <w:sz w:val="20"/>
        </w:rPr>
        <w:t xml:space="preserve"> приложения 1, - путем умножения установленного в </w:t>
      </w:r>
      <w:hyperlink w:history="0" w:anchor="P1037" w:tooltip="ПЕРЕЧЕНЬ">
        <w:r>
          <w:rPr>
            <w:sz w:val="20"/>
            <w:color w:val="0000ff"/>
          </w:rPr>
          <w:t xml:space="preserve">приложении 1</w:t>
        </w:r>
      </w:hyperlink>
      <w:r>
        <w:rPr>
          <w:sz w:val="20"/>
        </w:rPr>
        <w:t xml:space="preserve"> размера потенциально возможного к получению годового дохода на 1 квадратный метр площади стоянки для транспортных средств на общую площадь стоянки для транспортных средств.</w:t>
      </w:r>
    </w:p>
    <w:p>
      <w:pPr>
        <w:pStyle w:val="0"/>
        <w:jc w:val="both"/>
      </w:pPr>
      <w:r>
        <w:rPr>
          <w:sz w:val="20"/>
        </w:rPr>
        <w:t xml:space="preserve">(пп. 7 введен </w:t>
      </w:r>
      <w:hyperlink w:history="0" r:id="rId24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Законом</w:t>
        </w:r>
      </w:hyperlink>
      <w:r>
        <w:rPr>
          <w:sz w:val="20"/>
        </w:rPr>
        <w:t xml:space="preserve"> Новосибирской области от 25.02.2021 N 60-ОЗ)</w:t>
      </w:r>
    </w:p>
    <w:p>
      <w:pPr>
        <w:pStyle w:val="0"/>
        <w:spacing w:before="200" w:line-rule="auto"/>
        <w:ind w:firstLine="540"/>
        <w:jc w:val="both"/>
      </w:pPr>
      <w:r>
        <w:rPr>
          <w:sz w:val="20"/>
        </w:rPr>
        <w:t xml:space="preserve">2 - 3. Утратили силу. - </w:t>
      </w:r>
      <w:hyperlink w:history="0" r:id="rId247"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w:t>
        </w:r>
      </w:hyperlink>
      <w:r>
        <w:rPr>
          <w:sz w:val="20"/>
        </w:rPr>
        <w:t xml:space="preserve"> Новосибирской области от 25.02.2021 N 60-ОЗ.</w:t>
      </w:r>
    </w:p>
    <w:p>
      <w:pPr>
        <w:pStyle w:val="0"/>
        <w:ind w:firstLine="540"/>
        <w:jc w:val="both"/>
      </w:pPr>
      <w:r>
        <w:rPr>
          <w:sz w:val="20"/>
        </w:rPr>
      </w:r>
    </w:p>
    <w:p>
      <w:pPr>
        <w:pStyle w:val="2"/>
        <w:outlineLvl w:val="3"/>
        <w:ind w:firstLine="540"/>
        <w:jc w:val="both"/>
      </w:pPr>
      <w:r>
        <w:rPr>
          <w:sz w:val="20"/>
        </w:rPr>
        <w:t xml:space="preserve">Статья 5.3.1. Ограничения для применения патентной системы налогообложения</w:t>
      </w:r>
    </w:p>
    <w:p>
      <w:pPr>
        <w:pStyle w:val="0"/>
        <w:ind w:firstLine="540"/>
        <w:jc w:val="both"/>
      </w:pPr>
      <w:r>
        <w:rPr>
          <w:sz w:val="20"/>
        </w:rPr>
        <w:t xml:space="preserve">(введена </w:t>
      </w:r>
      <w:hyperlink w:history="0" r:id="rId248"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Законом</w:t>
        </w:r>
      </w:hyperlink>
      <w:r>
        <w:rPr>
          <w:sz w:val="20"/>
        </w:rPr>
        <w:t xml:space="preserve"> Новосибирской области от 10.11.2020 N 15-ОЗ)</w:t>
      </w:r>
    </w:p>
    <w:p>
      <w:pPr>
        <w:pStyle w:val="0"/>
        <w:ind w:firstLine="540"/>
        <w:jc w:val="both"/>
      </w:pPr>
      <w:r>
        <w:rPr>
          <w:sz w:val="20"/>
        </w:rPr>
      </w:r>
    </w:p>
    <w:p>
      <w:pPr>
        <w:pStyle w:val="0"/>
        <w:ind w:firstLine="540"/>
        <w:jc w:val="both"/>
      </w:pPr>
      <w:r>
        <w:rPr>
          <w:sz w:val="20"/>
        </w:rPr>
        <w:t xml:space="preserve">1. По виду предпринимательской деятельности, указанному в </w:t>
      </w:r>
      <w:hyperlink w:history="0" w:anchor="P1289" w:tooltip="19.2">
        <w:r>
          <w:rPr>
            <w:sz w:val="20"/>
            <w:color w:val="0000ff"/>
          </w:rPr>
          <w:t xml:space="preserve">строке 19.2</w:t>
        </w:r>
      </w:hyperlink>
      <w:r>
        <w:rPr>
          <w:sz w:val="20"/>
        </w:rPr>
        <w:t xml:space="preserve"> приложения 1, общая площадь сдаваемых в аренду собственных или арендованных нежилых помещений (включая выставочные залы, складские помещения) не может превышать 1000 квадратных метров.</w:t>
      </w:r>
    </w:p>
    <w:p>
      <w:pPr>
        <w:pStyle w:val="0"/>
        <w:jc w:val="both"/>
      </w:pPr>
      <w:r>
        <w:rPr>
          <w:sz w:val="20"/>
        </w:rPr>
        <w:t xml:space="preserve">(п. 1 в ред. </w:t>
      </w:r>
      <w:hyperlink w:history="0" r:id="rId24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В соответствии с </w:t>
            </w:r>
            <w:hyperlink w:history="0" r:id="rId250"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Законом</w:t>
              </w:r>
            </w:hyperlink>
            <w:r>
              <w:rPr>
                <w:sz w:val="20"/>
                <w:color w:val="392c69"/>
              </w:rPr>
              <w:t xml:space="preserve"> Новосибирской области от 25.02.2021 N 60-ОЗ (ред. 27.11.2023) с </w:t>
            </w:r>
            <w:hyperlink w:history="0" r:id="rId251"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01.01.2025</w:t>
              </w:r>
            </w:hyperlink>
            <w:r>
              <w:rPr>
                <w:sz w:val="20"/>
                <w:color w:val="392c69"/>
              </w:rPr>
              <w:t xml:space="preserve"> ст. 5.3.1 будет дополнена п. 2 следующего содержания:</w:t>
            </w:r>
          </w:p>
          <w:p>
            <w:pPr>
              <w:pStyle w:val="0"/>
              <w:jc w:val="both"/>
            </w:pPr>
            <w:r>
              <w:rPr>
                <w:sz w:val="20"/>
                <w:color w:val="392c69"/>
              </w:rPr>
              <w:t xml:space="preserve">"2. По видам предпринимательской деятельности, указанным в строках 45.2 и 47.2 приложения 1, площадь торгового зала, зала обслуживания посетителей объектов стационарной торговой сети, объектов организации общественного питания не может превышать 50 квадратных метров.".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 виду предпринимательской деятельности, указанному в </w:t>
      </w:r>
      <w:hyperlink w:history="0" w:anchor="P2456" w:tooltip="35">
        <w:r>
          <w:rPr>
            <w:sz w:val="20"/>
            <w:color w:val="0000ff"/>
          </w:rPr>
          <w:t xml:space="preserve">строке 35</w:t>
        </w:r>
      </w:hyperlink>
      <w:r>
        <w:rPr>
          <w:sz w:val="20"/>
        </w:rPr>
        <w:t xml:space="preserve"> приложения 2, общее количество судов водного транспорта не может превышать пяти судов водного транспорта.</w:t>
      </w:r>
    </w:p>
    <w:p>
      <w:pPr>
        <w:pStyle w:val="0"/>
        <w:jc w:val="both"/>
      </w:pPr>
      <w:r>
        <w:rPr>
          <w:sz w:val="20"/>
        </w:rPr>
        <w:t xml:space="preserve">(п. 3 введен </w:t>
      </w:r>
      <w:hyperlink w:history="0" r:id="rId25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Законом</w:t>
        </w:r>
      </w:hyperlink>
      <w:r>
        <w:rPr>
          <w:sz w:val="20"/>
        </w:rPr>
        <w:t xml:space="preserve"> Новосибирской области от 25.02.2021 N 60-ОЗ)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Ст. 5.4, введенная </w:t>
            </w:r>
            <w:hyperlink w:history="0" r:id="rId253"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Законом</w:t>
              </w:r>
            </w:hyperlink>
            <w:r>
              <w:rPr>
                <w:sz w:val="20"/>
                <w:color w:val="392c69"/>
              </w:rPr>
              <w:t xml:space="preserve"> Новосибирской области от 30.06.2015 N 572-ОЗ (ред. 02.11.2022), </w:t>
            </w:r>
            <w:hyperlink w:history="0" r:id="rId254"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5.4. Налоговая ставка</w:t>
      </w:r>
    </w:p>
    <w:p>
      <w:pPr>
        <w:pStyle w:val="0"/>
        <w:ind w:firstLine="540"/>
        <w:jc w:val="both"/>
      </w:pPr>
      <w:r>
        <w:rPr>
          <w:sz w:val="20"/>
        </w:rPr>
        <w:t xml:space="preserve">(введена </w:t>
      </w:r>
      <w:hyperlink w:history="0" r:id="rId255"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Законом</w:t>
        </w:r>
      </w:hyperlink>
      <w:r>
        <w:rPr>
          <w:sz w:val="20"/>
        </w:rPr>
        <w:t xml:space="preserve"> Новосибирской области от 30.06.2015 N 572-ОЗ)</w:t>
      </w:r>
    </w:p>
    <w:p>
      <w:pPr>
        <w:pStyle w:val="0"/>
        <w:ind w:firstLine="540"/>
        <w:jc w:val="both"/>
      </w:pPr>
      <w:r>
        <w:rPr>
          <w:sz w:val="20"/>
        </w:rPr>
      </w:r>
    </w:p>
    <w:p>
      <w:pPr>
        <w:pStyle w:val="0"/>
        <w:ind w:firstLine="540"/>
        <w:jc w:val="both"/>
      </w:pPr>
      <w:r>
        <w:rPr>
          <w:sz w:val="20"/>
        </w:rPr>
        <w:t xml:space="preserve">1. Налоговая </w:t>
      </w:r>
      <w:hyperlink w:history="0" r:id="rId256"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предпринимателей, впервые зарегистрированных после 1 июля 2015 года и осуществляющих следующие виды предпринимательской деятельности:</w:t>
      </w:r>
    </w:p>
    <w:p>
      <w:pPr>
        <w:pStyle w:val="0"/>
        <w:jc w:val="both"/>
      </w:pPr>
      <w:r>
        <w:rPr>
          <w:sz w:val="20"/>
        </w:rPr>
        <w:t xml:space="preserve">(в ред. </w:t>
      </w:r>
      <w:hyperlink w:history="0" r:id="rId257" w:tooltip="Закон Новосибирской области от 23.11.2015 N 10-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5 N 10-ЗС) {КонсультантПлюс}">
        <w:r>
          <w:rPr>
            <w:sz w:val="20"/>
            <w:color w:val="0000ff"/>
          </w:rPr>
          <w:t xml:space="preserve">Закона</w:t>
        </w:r>
      </w:hyperlink>
      <w:r>
        <w:rPr>
          <w:sz w:val="20"/>
        </w:rPr>
        <w:t xml:space="preserve"> Новосибирской области от 23.11.2015 N 10-ОЗ)</w:t>
      </w:r>
    </w:p>
    <w:p>
      <w:pPr>
        <w:pStyle w:val="0"/>
        <w:spacing w:before="200" w:line-rule="auto"/>
        <w:ind w:firstLine="540"/>
        <w:jc w:val="both"/>
      </w:pPr>
      <w:r>
        <w:rPr>
          <w:sz w:val="20"/>
        </w:rPr>
        <w:t xml:space="preserve">1) в производственной сфере:</w:t>
      </w:r>
    </w:p>
    <w:p>
      <w:pPr>
        <w:pStyle w:val="0"/>
        <w:spacing w:before="200" w:line-rule="auto"/>
        <w:ind w:firstLine="540"/>
        <w:jc w:val="both"/>
      </w:pPr>
      <w:r>
        <w:rPr>
          <w:sz w:val="20"/>
        </w:rPr>
        <w:t xml:space="preserve">изготовление и ремонт металлической галантереи, ключей, номерных знаков, указателей улиц;</w:t>
      </w:r>
    </w:p>
    <w:p>
      <w:pPr>
        <w:pStyle w:val="0"/>
        <w:spacing w:before="200" w:line-rule="auto"/>
        <w:ind w:firstLine="540"/>
        <w:jc w:val="both"/>
      </w:pPr>
      <w:r>
        <w:rPr>
          <w:sz w:val="20"/>
        </w:rPr>
        <w:t xml:space="preserve">услуги по остеклению балконов и лоджий, нарезке стекла и зеркал, художественной обработке стекла;</w:t>
      </w:r>
    </w:p>
    <w:p>
      <w:pPr>
        <w:pStyle w:val="0"/>
        <w:spacing w:before="200" w:line-rule="auto"/>
        <w:ind w:firstLine="540"/>
        <w:jc w:val="both"/>
      </w:pPr>
      <w:r>
        <w:rPr>
          <w:sz w:val="20"/>
        </w:rPr>
        <w:t xml:space="preserve">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pPr>
        <w:pStyle w:val="0"/>
        <w:jc w:val="both"/>
      </w:pPr>
      <w:r>
        <w:rPr>
          <w:sz w:val="20"/>
        </w:rPr>
        <w:t xml:space="preserve">(в ред. </w:t>
      </w:r>
      <w:hyperlink w:history="0" r:id="rId25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изготовление изделий народных художественных промыслов;</w:t>
      </w:r>
    </w:p>
    <w:p>
      <w:pPr>
        <w:pStyle w:val="0"/>
        <w:spacing w:before="200" w:line-rule="auto"/>
        <w:ind w:firstLine="540"/>
        <w:jc w:val="both"/>
      </w:pPr>
      <w:r>
        <w:rPr>
          <w:sz w:val="20"/>
        </w:rPr>
        <w:t xml:space="preserve">производство и реставрация ковров и ковровых изделий;</w:t>
      </w:r>
    </w:p>
    <w:p>
      <w:pPr>
        <w:pStyle w:val="0"/>
        <w:spacing w:before="200" w:line-rule="auto"/>
        <w:ind w:firstLine="540"/>
        <w:jc w:val="both"/>
      </w:pPr>
      <w:r>
        <w:rPr>
          <w:sz w:val="20"/>
        </w:rPr>
        <w:t xml:space="preserve">2) в социальной сфере:</w:t>
      </w:r>
    </w:p>
    <w:p>
      <w:pPr>
        <w:pStyle w:val="0"/>
        <w:spacing w:before="200" w:line-rule="auto"/>
        <w:ind w:firstLine="540"/>
        <w:jc w:val="both"/>
      </w:pPr>
      <w:r>
        <w:rPr>
          <w:sz w:val="20"/>
        </w:rPr>
        <w:t xml:space="preserve">услуги по присмотру и уходу за детьми и больными;</w:t>
      </w:r>
    </w:p>
    <w:p>
      <w:pPr>
        <w:pStyle w:val="0"/>
        <w:spacing w:before="200" w:line-rule="auto"/>
        <w:ind w:firstLine="540"/>
        <w:jc w:val="both"/>
      </w:pPr>
      <w:r>
        <w:rPr>
          <w:sz w:val="20"/>
        </w:rPr>
        <w:t xml:space="preserve">проведение занятий по физической культуре и спорту;</w:t>
      </w:r>
    </w:p>
    <w:p>
      <w:pPr>
        <w:pStyle w:val="0"/>
        <w:spacing w:before="200" w:line-rule="auto"/>
        <w:ind w:firstLine="540"/>
        <w:jc w:val="both"/>
      </w:pPr>
      <w:r>
        <w:rPr>
          <w:sz w:val="20"/>
        </w:rPr>
        <w:t xml:space="preserve">деятельность ветеринарная;</w:t>
      </w:r>
    </w:p>
    <w:p>
      <w:pPr>
        <w:pStyle w:val="0"/>
        <w:jc w:val="both"/>
      </w:pPr>
      <w:r>
        <w:rPr>
          <w:sz w:val="20"/>
        </w:rPr>
        <w:t xml:space="preserve">(в ред. </w:t>
      </w:r>
      <w:hyperlink w:history="0" r:id="rId25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w:history="0" r:id="rId260" w:tooltip="Федеральный закон от 12.04.2010 N 61-ФЗ (ред. от 30.01.2024) &quot;Об обращении лекарственных средств&quot; (с изм. и доп., вступ. в силу с 01.04.2024)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w:t>
      </w:r>
      <w:hyperlink w:history="0" r:id="rId261"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p>
      <w:pPr>
        <w:pStyle w:val="0"/>
        <w:spacing w:before="200" w:line-rule="auto"/>
        <w:ind w:firstLine="540"/>
        <w:jc w:val="both"/>
      </w:pPr>
      <w:r>
        <w:rPr>
          <w:sz w:val="20"/>
        </w:rPr>
        <w:t xml:space="preserve">ремонт слуховых аппаратов;</w:t>
      </w:r>
    </w:p>
    <w:p>
      <w:pPr>
        <w:pStyle w:val="0"/>
        <w:spacing w:before="200" w:line-rule="auto"/>
        <w:ind w:firstLine="540"/>
        <w:jc w:val="both"/>
      </w:pPr>
      <w:r>
        <w:rPr>
          <w:sz w:val="20"/>
        </w:rPr>
        <w:t xml:space="preserve">услуги в сфере дошкольного образования и дополнительного образования детей и взрослых.</w:t>
      </w:r>
    </w:p>
    <w:p>
      <w:pPr>
        <w:pStyle w:val="0"/>
        <w:jc w:val="both"/>
      </w:pPr>
      <w:r>
        <w:rPr>
          <w:sz w:val="20"/>
        </w:rPr>
        <w:t xml:space="preserve">(в ред. </w:t>
      </w:r>
      <w:hyperlink w:history="0" r:id="rId262"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2, введенный </w:t>
            </w:r>
            <w:hyperlink w:history="0" r:id="rId263" w:tooltip="Закон Новосибирской области от 23.11.2015 N 10-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5 N 10-ЗС) {КонсультантПлюс}">
              <w:r>
                <w:rPr>
                  <w:sz w:val="20"/>
                  <w:color w:val="0000ff"/>
                </w:rPr>
                <w:t xml:space="preserve">Законом</w:t>
              </w:r>
            </w:hyperlink>
            <w:r>
              <w:rPr>
                <w:sz w:val="20"/>
                <w:color w:val="392c69"/>
              </w:rPr>
              <w:t xml:space="preserve"> Новосибирской области от 23.11.2015 N 10-ОЗ (ред. 02.11.2022), </w:t>
            </w:r>
            <w:hyperlink w:history="0" r:id="rId264" w:tooltip="Закон Новосибирской области от 23.11.2015 N 10-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5 N 10-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Налоговая ставка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предпринимателей, впервые зарегистрированных после 1 января 2016 года и осуществляющих следующие виды предпринимательской деятельности:</w:t>
      </w:r>
    </w:p>
    <w:p>
      <w:pPr>
        <w:pStyle w:val="0"/>
        <w:spacing w:before="200" w:line-rule="auto"/>
        <w:ind w:firstLine="540"/>
        <w:jc w:val="both"/>
      </w:pPr>
      <w:r>
        <w:rPr>
          <w:sz w:val="20"/>
        </w:rPr>
        <w:t xml:space="preserve">1) в производственной сфере:</w:t>
      </w:r>
    </w:p>
    <w:p>
      <w:pPr>
        <w:pStyle w:val="0"/>
        <w:spacing w:before="200" w:line-rule="auto"/>
        <w:ind w:firstLine="540"/>
        <w:jc w:val="both"/>
      </w:pPr>
      <w:r>
        <w:rPr>
          <w:sz w:val="20"/>
        </w:rPr>
        <w:t xml:space="preserve">оказание услуг по забою и транспортировке скота;</w:t>
      </w:r>
    </w:p>
    <w:p>
      <w:pPr>
        <w:pStyle w:val="0"/>
        <w:jc w:val="both"/>
      </w:pPr>
      <w:r>
        <w:rPr>
          <w:sz w:val="20"/>
        </w:rPr>
        <w:t xml:space="preserve">(в ред. </w:t>
      </w:r>
      <w:hyperlink w:history="0" r:id="rId265"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производство кожи и изделий из кожи;</w:t>
      </w:r>
    </w:p>
    <w:p>
      <w:pPr>
        <w:pStyle w:val="0"/>
        <w:spacing w:before="200" w:line-rule="auto"/>
        <w:ind w:firstLine="540"/>
        <w:jc w:val="both"/>
      </w:pPr>
      <w:r>
        <w:rPr>
          <w:sz w:val="20"/>
        </w:rPr>
        <w:t xml:space="preserve">сбор и заготовка пищевых лесных ресурсов, недревесных лесных ресурсов и лекарственных растений;</w:t>
      </w:r>
    </w:p>
    <w:p>
      <w:pPr>
        <w:pStyle w:val="0"/>
        <w:spacing w:before="200" w:line-rule="auto"/>
        <w:ind w:firstLine="540"/>
        <w:jc w:val="both"/>
      </w:pPr>
      <w:r>
        <w:rPr>
          <w:sz w:val="20"/>
        </w:rPr>
        <w:t xml:space="preserve">переработка и консервирование фруктов и овощей;</w:t>
      </w:r>
    </w:p>
    <w:p>
      <w:pPr>
        <w:pStyle w:val="0"/>
        <w:jc w:val="both"/>
      </w:pPr>
      <w:r>
        <w:rPr>
          <w:sz w:val="20"/>
        </w:rPr>
        <w:t xml:space="preserve">(в ред. </w:t>
      </w:r>
      <w:hyperlink w:history="0" r:id="rId26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производство молочной продукции;</w:t>
      </w:r>
    </w:p>
    <w:p>
      <w:pPr>
        <w:pStyle w:val="0"/>
        <w:spacing w:before="200" w:line-rule="auto"/>
        <w:ind w:firstLine="540"/>
        <w:jc w:val="both"/>
      </w:pPr>
      <w:r>
        <w:rPr>
          <w:sz w:val="20"/>
        </w:rPr>
        <w:t xml:space="preserve">растениеводство, услуги в области растениеводства;</w:t>
      </w:r>
    </w:p>
    <w:p>
      <w:pPr>
        <w:pStyle w:val="0"/>
        <w:jc w:val="both"/>
      </w:pPr>
      <w:r>
        <w:rPr>
          <w:sz w:val="20"/>
        </w:rPr>
        <w:t xml:space="preserve">(в ред. </w:t>
      </w:r>
      <w:hyperlink w:history="0" r:id="rId267"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производство хлебобулочных и мучных кондитерских изделий;</w:t>
      </w:r>
    </w:p>
    <w:p>
      <w:pPr>
        <w:pStyle w:val="0"/>
        <w:spacing w:before="200" w:line-rule="auto"/>
        <w:ind w:firstLine="540"/>
        <w:jc w:val="both"/>
      </w:pPr>
      <w:r>
        <w:rPr>
          <w:sz w:val="20"/>
        </w:rPr>
        <w:t xml:space="preserve">рыболовство и рыбоводство, рыболовство любительское и спортивное;</w:t>
      </w:r>
    </w:p>
    <w:p>
      <w:pPr>
        <w:pStyle w:val="0"/>
        <w:jc w:val="both"/>
      </w:pPr>
      <w:r>
        <w:rPr>
          <w:sz w:val="20"/>
        </w:rPr>
        <w:t xml:space="preserve">(в ред. </w:t>
      </w:r>
      <w:hyperlink w:history="0" r:id="rId26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лесоводство и прочая лесохозяйственная деятельность;</w:t>
      </w:r>
    </w:p>
    <w:p>
      <w:pPr>
        <w:pStyle w:val="0"/>
        <w:spacing w:before="200" w:line-rule="auto"/>
        <w:ind w:firstLine="540"/>
        <w:jc w:val="both"/>
      </w:pPr>
      <w:r>
        <w:rPr>
          <w:sz w:val="20"/>
        </w:rPr>
        <w:t xml:space="preserve">сбор, обработка и утилизация отходов, а также обработка вторичного сырья;</w:t>
      </w:r>
    </w:p>
    <w:p>
      <w:pPr>
        <w:pStyle w:val="0"/>
        <w:spacing w:before="200" w:line-rule="auto"/>
        <w:ind w:firstLine="540"/>
        <w:jc w:val="both"/>
      </w:pPr>
      <w:r>
        <w:rPr>
          <w:sz w:val="20"/>
        </w:rPr>
        <w:t xml:space="preserve">резка, обработка и отделка камня для памятников;</w:t>
      </w:r>
    </w:p>
    <w:p>
      <w:pPr>
        <w:pStyle w:val="0"/>
        <w:spacing w:before="200" w:line-rule="auto"/>
        <w:ind w:firstLine="540"/>
        <w:jc w:val="both"/>
      </w:pPr>
      <w:r>
        <w:rPr>
          <w:sz w:val="20"/>
        </w:rPr>
        <w:t xml:space="preserve">2) в социальной сфере:</w:t>
      </w:r>
    </w:p>
    <w:p>
      <w:pPr>
        <w:pStyle w:val="0"/>
        <w:spacing w:before="200" w:line-rule="auto"/>
        <w:ind w:firstLine="540"/>
        <w:jc w:val="both"/>
      </w:pPr>
      <w:r>
        <w:rPr>
          <w:sz w:val="20"/>
        </w:rPr>
        <w:t xml:space="preserve">деятельность по уходу за престарелыми и инвалидами;</w:t>
      </w:r>
    </w:p>
    <w:p>
      <w:pPr>
        <w:pStyle w:val="0"/>
        <w:spacing w:before="200" w:line-rule="auto"/>
        <w:ind w:firstLine="540"/>
        <w:jc w:val="both"/>
      </w:pPr>
      <w:r>
        <w:rPr>
          <w:sz w:val="20"/>
        </w:rPr>
        <w:t xml:space="preserve">3) в научной сфере:</w:t>
      </w:r>
    </w:p>
    <w:p>
      <w:pPr>
        <w:pStyle w:val="0"/>
        <w:spacing w:before="200" w:line-rule="auto"/>
        <w:ind w:firstLine="540"/>
        <w:jc w:val="both"/>
      </w:pPr>
      <w:r>
        <w:rPr>
          <w:sz w:val="20"/>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p>
      <w:pPr>
        <w:pStyle w:val="0"/>
        <w:jc w:val="both"/>
      </w:pPr>
      <w:r>
        <w:rPr>
          <w:sz w:val="20"/>
        </w:rPr>
        <w:t xml:space="preserve">(в ред. </w:t>
      </w:r>
      <w:hyperlink w:history="0" r:id="rId26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4) в сфере бытовых услуг населению:</w:t>
      </w:r>
    </w:p>
    <w:p>
      <w:pPr>
        <w:pStyle w:val="0"/>
        <w:spacing w:before="200" w:line-rule="auto"/>
        <w:ind w:firstLine="540"/>
        <w:jc w:val="both"/>
      </w:pPr>
      <w:r>
        <w:rPr>
          <w:sz w:val="20"/>
        </w:rP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pPr>
        <w:pStyle w:val="0"/>
        <w:jc w:val="both"/>
      </w:pPr>
      <w:r>
        <w:rPr>
          <w:sz w:val="20"/>
        </w:rPr>
        <w:t xml:space="preserve">(в ред. </w:t>
      </w:r>
      <w:hyperlink w:history="0" r:id="rId270"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чистка, окраска и пошив обуви;</w:t>
      </w:r>
    </w:p>
    <w:p>
      <w:pPr>
        <w:pStyle w:val="0"/>
        <w:spacing w:before="200" w:line-rule="auto"/>
        <w:ind w:firstLine="540"/>
        <w:jc w:val="both"/>
      </w:pPr>
      <w:r>
        <w:rPr>
          <w:sz w:val="20"/>
        </w:rPr>
        <w:t xml:space="preserve">парикмахерские и косметические услуги;</w:t>
      </w:r>
    </w:p>
    <w:p>
      <w:pPr>
        <w:pStyle w:val="0"/>
        <w:spacing w:before="200" w:line-rule="auto"/>
        <w:ind w:firstLine="540"/>
        <w:jc w:val="both"/>
      </w:pPr>
      <w:r>
        <w:rPr>
          <w:sz w:val="20"/>
        </w:rPr>
        <w:t xml:space="preserve">стирка, химическая чистка и крашение текстильных и меховых изделий;</w:t>
      </w:r>
    </w:p>
    <w:p>
      <w:pPr>
        <w:pStyle w:val="0"/>
        <w:jc w:val="both"/>
      </w:pPr>
      <w:r>
        <w:rPr>
          <w:sz w:val="20"/>
        </w:rPr>
        <w:t xml:space="preserve">(в ред. </w:t>
      </w:r>
      <w:hyperlink w:history="0" r:id="rId271"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pPr>
        <w:pStyle w:val="0"/>
        <w:jc w:val="both"/>
      </w:pPr>
      <w:r>
        <w:rPr>
          <w:sz w:val="20"/>
        </w:rPr>
        <w:t xml:space="preserve">(в ред. </w:t>
      </w:r>
      <w:hyperlink w:history="0" r:id="rId27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мебели и предметов домашнего обихода;</w:t>
      </w:r>
    </w:p>
    <w:p>
      <w:pPr>
        <w:pStyle w:val="0"/>
        <w:jc w:val="both"/>
      </w:pPr>
      <w:r>
        <w:rPr>
          <w:sz w:val="20"/>
        </w:rPr>
        <w:t xml:space="preserve">(в ред. </w:t>
      </w:r>
      <w:hyperlink w:history="0" r:id="rId273"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услуги в области фотографии;</w:t>
      </w:r>
    </w:p>
    <w:p>
      <w:pPr>
        <w:pStyle w:val="0"/>
        <w:jc w:val="both"/>
      </w:pPr>
      <w:r>
        <w:rPr>
          <w:sz w:val="20"/>
        </w:rPr>
        <w:t xml:space="preserve">(в ред. </w:t>
      </w:r>
      <w:hyperlink w:history="0" r:id="rId274"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реконструкция или ремонт существующих жилых и нежилых зданий, а также спортивных сооружений;</w:t>
      </w:r>
    </w:p>
    <w:p>
      <w:pPr>
        <w:pStyle w:val="0"/>
        <w:jc w:val="both"/>
      </w:pPr>
      <w:r>
        <w:rPr>
          <w:sz w:val="20"/>
        </w:rPr>
        <w:t xml:space="preserve">(в ред. </w:t>
      </w:r>
      <w:hyperlink w:history="0" r:id="rId275"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ювелирных изделий, бижутерии;</w:t>
      </w:r>
    </w:p>
    <w:p>
      <w:pPr>
        <w:pStyle w:val="0"/>
        <w:spacing w:before="200" w:line-rule="auto"/>
        <w:ind w:firstLine="540"/>
        <w:jc w:val="both"/>
      </w:pPr>
      <w:r>
        <w:rPr>
          <w:sz w:val="20"/>
        </w:rPr>
        <w:t xml:space="preserve">чеканка и гравировка ювелирных изделий;</w:t>
      </w:r>
    </w:p>
    <w:p>
      <w:pPr>
        <w:pStyle w:val="0"/>
        <w:spacing w:before="200" w:line-rule="auto"/>
        <w:ind w:firstLine="540"/>
        <w:jc w:val="both"/>
      </w:pPr>
      <w:r>
        <w:rPr>
          <w:sz w:val="20"/>
        </w:rPr>
        <w:t xml:space="preserve">услуги по уборке квартир и частных домов, деятельность домашних хозяйств с наемными работниками;</w:t>
      </w:r>
    </w:p>
    <w:p>
      <w:pPr>
        <w:pStyle w:val="0"/>
        <w:jc w:val="both"/>
      </w:pPr>
      <w:r>
        <w:rPr>
          <w:sz w:val="20"/>
        </w:rPr>
        <w:t xml:space="preserve">(в ред. </w:t>
      </w:r>
      <w:hyperlink w:history="0" r:id="rId27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деятельность, специализированная в области дизайна, услуги художественного оформления;</w:t>
      </w:r>
    </w:p>
    <w:p>
      <w:pPr>
        <w:pStyle w:val="0"/>
        <w:jc w:val="both"/>
      </w:pPr>
      <w:r>
        <w:rPr>
          <w:sz w:val="20"/>
        </w:rPr>
        <w:t xml:space="preserve">(в ред. </w:t>
      </w:r>
      <w:hyperlink w:history="0" r:id="rId277"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деятельность по благоустройству ландшафта;</w:t>
      </w:r>
    </w:p>
    <w:p>
      <w:pPr>
        <w:pStyle w:val="0"/>
        <w:jc w:val="both"/>
      </w:pPr>
      <w:r>
        <w:rPr>
          <w:sz w:val="20"/>
        </w:rPr>
        <w:t xml:space="preserve">(в ред. </w:t>
      </w:r>
      <w:hyperlink w:history="0" r:id="rId27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организация обрядов (свадеб, юбилеев), в том числе музыкальное сопровождение;</w:t>
      </w:r>
    </w:p>
    <w:p>
      <w:pPr>
        <w:pStyle w:val="0"/>
        <w:jc w:val="both"/>
      </w:pPr>
      <w:r>
        <w:rPr>
          <w:sz w:val="20"/>
        </w:rPr>
        <w:t xml:space="preserve">(в ред. </w:t>
      </w:r>
      <w:hyperlink w:history="0" r:id="rId27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организация похорон и предоставление связанных с ними услуг;</w:t>
      </w:r>
    </w:p>
    <w:p>
      <w:pPr>
        <w:pStyle w:val="0"/>
        <w:jc w:val="both"/>
      </w:pPr>
      <w:r>
        <w:rPr>
          <w:sz w:val="20"/>
        </w:rPr>
        <w:t xml:space="preserve">(в ред. </w:t>
      </w:r>
      <w:hyperlink w:history="0" r:id="rId280"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компьютеров и коммуникационного оборудования;</w:t>
      </w:r>
    </w:p>
    <w:p>
      <w:pPr>
        <w:pStyle w:val="0"/>
        <w:spacing w:before="200" w:line-rule="auto"/>
        <w:ind w:firstLine="540"/>
        <w:jc w:val="both"/>
      </w:pPr>
      <w:r>
        <w:rPr>
          <w:sz w:val="20"/>
        </w:rPr>
        <w:t xml:space="preserve">деятельность по письменному и устному переводу.</w:t>
      </w:r>
    </w:p>
    <w:p>
      <w:pPr>
        <w:pStyle w:val="0"/>
        <w:jc w:val="both"/>
      </w:pPr>
      <w:r>
        <w:rPr>
          <w:sz w:val="20"/>
        </w:rPr>
        <w:t xml:space="preserve">(п. 2 введен </w:t>
      </w:r>
      <w:hyperlink w:history="0" r:id="rId281" w:tooltip="Закон Новосибирской области от 23.11.2015 N 10-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9.11.2015 N 10-ЗС) {КонсультантПлюс}">
        <w:r>
          <w:rPr>
            <w:sz w:val="20"/>
            <w:color w:val="0000ff"/>
          </w:rPr>
          <w:t xml:space="preserve">Законом</w:t>
        </w:r>
      </w:hyperlink>
      <w:r>
        <w:rPr>
          <w:sz w:val="20"/>
        </w:rPr>
        <w:t xml:space="preserve"> Новосибирской области от 23.11.2015 N 10-ОЗ)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3, введенный </w:t>
            </w:r>
            <w:hyperlink w:history="0" r:id="rId282"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Законом</w:t>
              </w:r>
            </w:hyperlink>
            <w:r>
              <w:rPr>
                <w:sz w:val="20"/>
                <w:color w:val="392c69"/>
              </w:rPr>
              <w:t xml:space="preserve"> Новосибирской области от 29.05.2017 N 166-ОЗ (ред. 02.11.2022), </w:t>
            </w:r>
            <w:hyperlink w:history="0" r:id="rId283"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действует</w:t>
              </w:r>
            </w:hyperlink>
            <w:r>
              <w:rPr>
                <w:sz w:val="20"/>
                <w:color w:val="392c69"/>
              </w:rPr>
              <w:t xml:space="preserve">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Налоговая ставка по налогу, взимаемому в связи с применением патентной системы налогообложения, устанавливается в размере 0 процентов для налогоплательщиков - индивидуальных предпринимателей, впервые зарегистрированных после 1 января 2017 года и осуществляющих следующие виды предпринимательской деятельности:</w:t>
      </w:r>
    </w:p>
    <w:p>
      <w:pPr>
        <w:pStyle w:val="0"/>
        <w:spacing w:before="200" w:line-rule="auto"/>
        <w:ind w:firstLine="540"/>
        <w:jc w:val="both"/>
      </w:pPr>
      <w:r>
        <w:rPr>
          <w:sz w:val="20"/>
        </w:rPr>
        <w:t xml:space="preserve">1) в производственной сфере:</w:t>
      </w:r>
    </w:p>
    <w:p>
      <w:pPr>
        <w:pStyle w:val="0"/>
        <w:spacing w:before="200" w:line-rule="auto"/>
        <w:ind w:firstLine="540"/>
        <w:jc w:val="both"/>
      </w:pPr>
      <w:r>
        <w:rPr>
          <w:sz w:val="20"/>
        </w:rPr>
        <w:t xml:space="preserve">производство и реставрация ковров и ковровых изделий;</w:t>
      </w:r>
    </w:p>
    <w:p>
      <w:pPr>
        <w:pStyle w:val="0"/>
        <w:spacing w:before="200" w:line-rule="auto"/>
        <w:ind w:firstLine="540"/>
        <w:jc w:val="both"/>
      </w:pPr>
      <w:r>
        <w:rPr>
          <w:sz w:val="20"/>
        </w:rPr>
        <w:t xml:space="preserve">оказание услуг по забою и транспортировке скота;</w:t>
      </w:r>
    </w:p>
    <w:p>
      <w:pPr>
        <w:pStyle w:val="0"/>
        <w:jc w:val="both"/>
      </w:pPr>
      <w:r>
        <w:rPr>
          <w:sz w:val="20"/>
        </w:rPr>
        <w:t xml:space="preserve">(в ред. </w:t>
      </w:r>
      <w:hyperlink w:history="0" r:id="rId284"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производство кожи и изделий из кожи;</w:t>
      </w:r>
    </w:p>
    <w:p>
      <w:pPr>
        <w:pStyle w:val="0"/>
        <w:spacing w:before="200" w:line-rule="auto"/>
        <w:ind w:firstLine="540"/>
        <w:jc w:val="both"/>
      </w:pPr>
      <w:r>
        <w:rPr>
          <w:sz w:val="20"/>
        </w:rPr>
        <w:t xml:space="preserve">сбор и заготовка пищевых лесных ресурсов, недревесных лесных ресурсов и лекарственных растений;</w:t>
      </w:r>
    </w:p>
    <w:p>
      <w:pPr>
        <w:pStyle w:val="0"/>
        <w:spacing w:before="200" w:line-rule="auto"/>
        <w:ind w:firstLine="540"/>
        <w:jc w:val="both"/>
      </w:pPr>
      <w:r>
        <w:rPr>
          <w:sz w:val="20"/>
        </w:rPr>
        <w:t xml:space="preserve">переработка и консервирование фруктов и овощей;</w:t>
      </w:r>
    </w:p>
    <w:p>
      <w:pPr>
        <w:pStyle w:val="0"/>
        <w:jc w:val="both"/>
      </w:pPr>
      <w:r>
        <w:rPr>
          <w:sz w:val="20"/>
        </w:rPr>
        <w:t xml:space="preserve">(в ред. </w:t>
      </w:r>
      <w:hyperlink w:history="0" r:id="rId285"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производство молочной продукции;</w:t>
      </w:r>
    </w:p>
    <w:p>
      <w:pPr>
        <w:pStyle w:val="0"/>
        <w:spacing w:before="200" w:line-rule="auto"/>
        <w:ind w:firstLine="540"/>
        <w:jc w:val="both"/>
      </w:pPr>
      <w:r>
        <w:rPr>
          <w:sz w:val="20"/>
        </w:rPr>
        <w:t xml:space="preserve">растениеводство, услуги в области растениеводства;</w:t>
      </w:r>
    </w:p>
    <w:p>
      <w:pPr>
        <w:pStyle w:val="0"/>
        <w:jc w:val="both"/>
      </w:pPr>
      <w:r>
        <w:rPr>
          <w:sz w:val="20"/>
        </w:rPr>
        <w:t xml:space="preserve">(в ред. </w:t>
      </w:r>
      <w:hyperlink w:history="0" r:id="rId286"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производство хлебобулочных и мучных кондитерских изделий;</w:t>
      </w:r>
    </w:p>
    <w:p>
      <w:pPr>
        <w:pStyle w:val="0"/>
        <w:spacing w:before="200" w:line-rule="auto"/>
        <w:ind w:firstLine="540"/>
        <w:jc w:val="both"/>
      </w:pPr>
      <w:r>
        <w:rPr>
          <w:sz w:val="20"/>
        </w:rPr>
        <w:t xml:space="preserve">рыболовство и рыбоводство, рыболовство любительское и спортивное;</w:t>
      </w:r>
    </w:p>
    <w:p>
      <w:pPr>
        <w:pStyle w:val="0"/>
        <w:jc w:val="both"/>
      </w:pPr>
      <w:r>
        <w:rPr>
          <w:sz w:val="20"/>
        </w:rPr>
        <w:t xml:space="preserve">(в ред. </w:t>
      </w:r>
      <w:hyperlink w:history="0" r:id="rId287"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лесоводство и прочая лесохозяйственная деятельность;</w:t>
      </w:r>
    </w:p>
    <w:p>
      <w:pPr>
        <w:pStyle w:val="0"/>
        <w:spacing w:before="200" w:line-rule="auto"/>
        <w:ind w:firstLine="540"/>
        <w:jc w:val="both"/>
      </w:pPr>
      <w:r>
        <w:rPr>
          <w:sz w:val="20"/>
        </w:rPr>
        <w:t xml:space="preserve">сбор, обработка и утилизация отходов, а также обработка вторичного сырья;</w:t>
      </w:r>
    </w:p>
    <w:p>
      <w:pPr>
        <w:pStyle w:val="0"/>
        <w:spacing w:before="200" w:line-rule="auto"/>
        <w:ind w:firstLine="540"/>
        <w:jc w:val="both"/>
      </w:pPr>
      <w:r>
        <w:rPr>
          <w:sz w:val="20"/>
        </w:rPr>
        <w:t xml:space="preserve">2) в социальной сфере:</w:t>
      </w:r>
    </w:p>
    <w:p>
      <w:pPr>
        <w:pStyle w:val="0"/>
        <w:spacing w:before="200" w:line-rule="auto"/>
        <w:ind w:firstLine="540"/>
        <w:jc w:val="both"/>
      </w:pPr>
      <w:r>
        <w:rPr>
          <w:sz w:val="20"/>
        </w:rPr>
        <w:t xml:space="preserve">проведение занятий по физической культуре и спорту;</w:t>
      </w:r>
    </w:p>
    <w:p>
      <w:pPr>
        <w:pStyle w:val="0"/>
        <w:spacing w:before="200" w:line-rule="auto"/>
        <w:ind w:firstLine="540"/>
        <w:jc w:val="both"/>
      </w:pPr>
      <w:r>
        <w:rPr>
          <w:sz w:val="20"/>
        </w:rPr>
        <w:t xml:space="preserve">деятельность ветеринарная;</w:t>
      </w:r>
    </w:p>
    <w:p>
      <w:pPr>
        <w:pStyle w:val="0"/>
        <w:jc w:val="both"/>
      </w:pPr>
      <w:r>
        <w:rPr>
          <w:sz w:val="20"/>
        </w:rPr>
        <w:t xml:space="preserve">(в ред. </w:t>
      </w:r>
      <w:hyperlink w:history="0" r:id="rId28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w:history="0" r:id="rId289" w:tooltip="Федеральный закон от 12.04.2010 N 61-ФЗ (ред. от 30.01.2024) &quot;Об обращении лекарственных средств&quot; (с изм. и доп., вступ. в силу с 01.04.2024)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p>
      <w:pPr>
        <w:pStyle w:val="0"/>
        <w:jc w:val="both"/>
      </w:pPr>
      <w:r>
        <w:rPr>
          <w:sz w:val="20"/>
        </w:rPr>
        <w:t xml:space="preserve">(в ред. </w:t>
      </w:r>
      <w:hyperlink w:history="0" r:id="rId290"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p>
      <w:pPr>
        <w:pStyle w:val="0"/>
        <w:spacing w:before="200" w:line-rule="auto"/>
        <w:ind w:firstLine="540"/>
        <w:jc w:val="both"/>
      </w:pPr>
      <w:r>
        <w:rPr>
          <w:sz w:val="20"/>
        </w:rPr>
        <w:t xml:space="preserve">услуги в сфере дошкольного образования и дополнительного образования детей и взрослых;</w:t>
      </w:r>
    </w:p>
    <w:p>
      <w:pPr>
        <w:pStyle w:val="0"/>
        <w:jc w:val="both"/>
      </w:pPr>
      <w:r>
        <w:rPr>
          <w:sz w:val="20"/>
        </w:rPr>
        <w:t xml:space="preserve">(в ред. </w:t>
      </w:r>
      <w:hyperlink w:history="0" r:id="rId291"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3) в научной сфере:</w:t>
      </w:r>
    </w:p>
    <w:p>
      <w:pPr>
        <w:pStyle w:val="0"/>
        <w:spacing w:before="200" w:line-rule="auto"/>
        <w:ind w:firstLine="540"/>
        <w:jc w:val="both"/>
      </w:pPr>
      <w:r>
        <w:rPr>
          <w:sz w:val="20"/>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p>
      <w:pPr>
        <w:pStyle w:val="0"/>
        <w:jc w:val="both"/>
      </w:pPr>
      <w:r>
        <w:rPr>
          <w:sz w:val="20"/>
        </w:rPr>
        <w:t xml:space="preserve">(в ред. </w:t>
      </w:r>
      <w:hyperlink w:history="0" r:id="rId29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4) в сфере бытовых услуг населению:</w:t>
      </w:r>
    </w:p>
    <w:p>
      <w:pPr>
        <w:pStyle w:val="0"/>
        <w:spacing w:before="200" w:line-rule="auto"/>
        <w:ind w:firstLine="540"/>
        <w:jc w:val="both"/>
      </w:pPr>
      <w:r>
        <w:rPr>
          <w:sz w:val="20"/>
        </w:rP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pPr>
        <w:pStyle w:val="0"/>
        <w:jc w:val="both"/>
      </w:pPr>
      <w:r>
        <w:rPr>
          <w:sz w:val="20"/>
        </w:rPr>
        <w:t xml:space="preserve">(в ред. </w:t>
      </w:r>
      <w:hyperlink w:history="0" r:id="rId293"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чистка, окраска и пошив обуви;</w:t>
      </w:r>
    </w:p>
    <w:p>
      <w:pPr>
        <w:pStyle w:val="0"/>
        <w:spacing w:before="200" w:line-rule="auto"/>
        <w:ind w:firstLine="540"/>
        <w:jc w:val="both"/>
      </w:pPr>
      <w:r>
        <w:rPr>
          <w:sz w:val="20"/>
        </w:rPr>
        <w:t xml:space="preserve">парикмахерские и косметические услуги;</w:t>
      </w:r>
    </w:p>
    <w:p>
      <w:pPr>
        <w:pStyle w:val="0"/>
        <w:spacing w:before="200" w:line-rule="auto"/>
        <w:ind w:firstLine="540"/>
        <w:jc w:val="both"/>
      </w:pPr>
      <w:r>
        <w:rPr>
          <w:sz w:val="20"/>
        </w:rPr>
        <w:t xml:space="preserve">стирка, химическая чистка и крашение текстильных и меховых изделий;</w:t>
      </w:r>
    </w:p>
    <w:p>
      <w:pPr>
        <w:pStyle w:val="0"/>
        <w:jc w:val="both"/>
      </w:pPr>
      <w:r>
        <w:rPr>
          <w:sz w:val="20"/>
        </w:rPr>
        <w:t xml:space="preserve">(в ред. </w:t>
      </w:r>
      <w:hyperlink w:history="0" r:id="rId294"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pPr>
        <w:pStyle w:val="0"/>
        <w:jc w:val="both"/>
      </w:pPr>
      <w:r>
        <w:rPr>
          <w:sz w:val="20"/>
        </w:rPr>
        <w:t xml:space="preserve">(в ред. </w:t>
      </w:r>
      <w:hyperlink w:history="0" r:id="rId295"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мебели и предметов домашнего обихода;</w:t>
      </w:r>
    </w:p>
    <w:p>
      <w:pPr>
        <w:pStyle w:val="0"/>
        <w:jc w:val="both"/>
      </w:pPr>
      <w:r>
        <w:rPr>
          <w:sz w:val="20"/>
        </w:rPr>
        <w:t xml:space="preserve">(в ред. </w:t>
      </w:r>
      <w:hyperlink w:history="0" r:id="rId296"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услуги в области фотографии;</w:t>
      </w:r>
    </w:p>
    <w:p>
      <w:pPr>
        <w:pStyle w:val="0"/>
        <w:jc w:val="both"/>
      </w:pPr>
      <w:r>
        <w:rPr>
          <w:sz w:val="20"/>
        </w:rPr>
        <w:t xml:space="preserve">(в ред. </w:t>
      </w:r>
      <w:hyperlink w:history="0" r:id="rId297"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Закона</w:t>
        </w:r>
      </w:hyperlink>
      <w:r>
        <w:rPr>
          <w:sz w:val="20"/>
        </w:rPr>
        <w:t xml:space="preserve"> Новосибирской области от 10.11.2020 N 15-ОЗ)</w:t>
      </w:r>
    </w:p>
    <w:p>
      <w:pPr>
        <w:pStyle w:val="0"/>
        <w:spacing w:before="200" w:line-rule="auto"/>
        <w:ind w:firstLine="540"/>
        <w:jc w:val="both"/>
      </w:pPr>
      <w:r>
        <w:rPr>
          <w:sz w:val="20"/>
        </w:rPr>
        <w:t xml:space="preserve">реконструкция или ремонт существующих жилых и нежилых зданий, а также спортивных сооружений;</w:t>
      </w:r>
    </w:p>
    <w:p>
      <w:pPr>
        <w:pStyle w:val="0"/>
        <w:jc w:val="both"/>
      </w:pPr>
      <w:r>
        <w:rPr>
          <w:sz w:val="20"/>
        </w:rPr>
        <w:t xml:space="preserve">(в ред. </w:t>
      </w:r>
      <w:hyperlink w:history="0" r:id="rId298"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ювелирных изделий, бижутерии;</w:t>
      </w:r>
    </w:p>
    <w:p>
      <w:pPr>
        <w:pStyle w:val="0"/>
        <w:spacing w:before="200" w:line-rule="auto"/>
        <w:ind w:firstLine="540"/>
        <w:jc w:val="both"/>
      </w:pPr>
      <w:r>
        <w:rPr>
          <w:sz w:val="20"/>
        </w:rPr>
        <w:t xml:space="preserve">чеканка и гравировка ювелирных изделий;</w:t>
      </w:r>
    </w:p>
    <w:p>
      <w:pPr>
        <w:pStyle w:val="0"/>
        <w:spacing w:before="200" w:line-rule="auto"/>
        <w:ind w:firstLine="540"/>
        <w:jc w:val="both"/>
      </w:pPr>
      <w:r>
        <w:rPr>
          <w:sz w:val="20"/>
        </w:rPr>
        <w:t xml:space="preserve">услуги по уборке квартир и частных домов, деятельность домашних хозяйств с наемными работниками;</w:t>
      </w:r>
    </w:p>
    <w:p>
      <w:pPr>
        <w:pStyle w:val="0"/>
        <w:jc w:val="both"/>
      </w:pPr>
      <w:r>
        <w:rPr>
          <w:sz w:val="20"/>
        </w:rPr>
        <w:t xml:space="preserve">(в ред. </w:t>
      </w:r>
      <w:hyperlink w:history="0" r:id="rId299"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деятельность, специализированная в области дизайна, услуги художественного оформления;</w:t>
      </w:r>
    </w:p>
    <w:p>
      <w:pPr>
        <w:pStyle w:val="0"/>
        <w:jc w:val="both"/>
      </w:pPr>
      <w:r>
        <w:rPr>
          <w:sz w:val="20"/>
        </w:rPr>
        <w:t xml:space="preserve">(в ред. </w:t>
      </w:r>
      <w:hyperlink w:history="0" r:id="rId300"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деятельность по благоустройству ландшафта;</w:t>
      </w:r>
    </w:p>
    <w:p>
      <w:pPr>
        <w:pStyle w:val="0"/>
        <w:jc w:val="both"/>
      </w:pPr>
      <w:r>
        <w:rPr>
          <w:sz w:val="20"/>
        </w:rPr>
        <w:t xml:space="preserve">(в ред. </w:t>
      </w:r>
      <w:hyperlink w:history="0" r:id="rId301"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организация обрядов (свадеб, юбилеев), в том числе музыкальное сопровождение;</w:t>
      </w:r>
    </w:p>
    <w:p>
      <w:pPr>
        <w:pStyle w:val="0"/>
        <w:jc w:val="both"/>
      </w:pPr>
      <w:r>
        <w:rPr>
          <w:sz w:val="20"/>
        </w:rPr>
        <w:t xml:space="preserve">(в ред. </w:t>
      </w:r>
      <w:hyperlink w:history="0" r:id="rId302"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организация похорон и предоставление связанных с ними услуг;</w:t>
      </w:r>
    </w:p>
    <w:p>
      <w:pPr>
        <w:pStyle w:val="0"/>
        <w:jc w:val="both"/>
      </w:pPr>
      <w:r>
        <w:rPr>
          <w:sz w:val="20"/>
        </w:rPr>
        <w:t xml:space="preserve">(в ред. </w:t>
      </w:r>
      <w:hyperlink w:history="0" r:id="rId303"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ремонт компьютеров и коммуникационного оборудования;</w:t>
      </w:r>
    </w:p>
    <w:p>
      <w:pPr>
        <w:pStyle w:val="0"/>
        <w:spacing w:before="200" w:line-rule="auto"/>
        <w:ind w:firstLine="540"/>
        <w:jc w:val="both"/>
      </w:pPr>
      <w:r>
        <w:rPr>
          <w:sz w:val="20"/>
        </w:rPr>
        <w:t xml:space="preserve">деятельность по письменному и устному переводу;</w:t>
      </w:r>
    </w:p>
    <w:p>
      <w:pPr>
        <w:pStyle w:val="0"/>
        <w:spacing w:before="200" w:line-rule="auto"/>
        <w:ind w:firstLine="540"/>
        <w:jc w:val="both"/>
      </w:pPr>
      <w:r>
        <w:rPr>
          <w:sz w:val="20"/>
        </w:rPr>
        <w:t xml:space="preserve">изготовление и ремонт металлической галантереи, ключей, номерных знаков, указателей улиц;</w:t>
      </w:r>
    </w:p>
    <w:p>
      <w:pPr>
        <w:pStyle w:val="0"/>
        <w:spacing w:before="200" w:line-rule="auto"/>
        <w:ind w:firstLine="540"/>
        <w:jc w:val="both"/>
      </w:pPr>
      <w:r>
        <w:rPr>
          <w:sz w:val="20"/>
        </w:rPr>
        <w:t xml:space="preserve">услуги по остеклению балконов и лоджий, нарезке стекла и зеркал, художественной обработке стекла;</w:t>
      </w:r>
    </w:p>
    <w:p>
      <w:pPr>
        <w:pStyle w:val="0"/>
        <w:spacing w:before="200" w:line-rule="auto"/>
        <w:ind w:firstLine="540"/>
        <w:jc w:val="both"/>
      </w:pPr>
      <w:r>
        <w:rPr>
          <w:sz w:val="20"/>
        </w:rPr>
        <w:t xml:space="preserve">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pPr>
        <w:pStyle w:val="0"/>
        <w:jc w:val="both"/>
      </w:pPr>
      <w:r>
        <w:rPr>
          <w:sz w:val="20"/>
        </w:rPr>
        <w:t xml:space="preserve">(в ред. </w:t>
      </w:r>
      <w:hyperlink w:history="0" r:id="rId304" w:tooltip="Закон Новосибирской области от 25.02.2021 N 60-ОЗ (ред. от 27.11.2023)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2.2021 N 60-ЗС) {КонсультантПлюс}">
        <w:r>
          <w:rPr>
            <w:sz w:val="20"/>
            <w:color w:val="0000ff"/>
          </w:rPr>
          <w:t xml:space="preserve">Закона</w:t>
        </w:r>
      </w:hyperlink>
      <w:r>
        <w:rPr>
          <w:sz w:val="20"/>
        </w:rPr>
        <w:t xml:space="preserve"> Новосибирской области от 25.02.2021 N 60-ОЗ)</w:t>
      </w:r>
    </w:p>
    <w:p>
      <w:pPr>
        <w:pStyle w:val="0"/>
        <w:spacing w:before="200" w:line-rule="auto"/>
        <w:ind w:firstLine="540"/>
        <w:jc w:val="both"/>
      </w:pPr>
      <w:r>
        <w:rPr>
          <w:sz w:val="20"/>
        </w:rPr>
        <w:t xml:space="preserve">изготовление изделий народных художественных промыслов;</w:t>
      </w:r>
    </w:p>
    <w:p>
      <w:pPr>
        <w:pStyle w:val="0"/>
        <w:spacing w:before="200" w:line-rule="auto"/>
        <w:ind w:firstLine="540"/>
        <w:jc w:val="both"/>
      </w:pPr>
      <w:r>
        <w:rPr>
          <w:sz w:val="20"/>
        </w:rPr>
        <w:t xml:space="preserve">резка, обработка и отделка камня для памятников;</w:t>
      </w:r>
    </w:p>
    <w:p>
      <w:pPr>
        <w:pStyle w:val="0"/>
        <w:spacing w:before="200" w:line-rule="auto"/>
        <w:ind w:firstLine="540"/>
        <w:jc w:val="both"/>
      </w:pPr>
      <w:r>
        <w:rPr>
          <w:sz w:val="20"/>
        </w:rPr>
        <w:t xml:space="preserve">услуги по присмотру и уходу за детьми и больными;</w:t>
      </w:r>
    </w:p>
    <w:p>
      <w:pPr>
        <w:pStyle w:val="0"/>
        <w:spacing w:before="200" w:line-rule="auto"/>
        <w:ind w:firstLine="540"/>
        <w:jc w:val="both"/>
      </w:pPr>
      <w:r>
        <w:rPr>
          <w:sz w:val="20"/>
        </w:rPr>
        <w:t xml:space="preserve">услуги по ремонту слуховых аппаратов;</w:t>
      </w:r>
    </w:p>
    <w:p>
      <w:pPr>
        <w:pStyle w:val="0"/>
        <w:spacing w:before="200" w:line-rule="auto"/>
        <w:ind w:firstLine="540"/>
        <w:jc w:val="both"/>
      </w:pPr>
      <w:r>
        <w:rPr>
          <w:sz w:val="20"/>
        </w:rPr>
        <w:t xml:space="preserve">деятельность по уходу за престарелыми и инвалидами.</w:t>
      </w:r>
    </w:p>
    <w:p>
      <w:pPr>
        <w:pStyle w:val="0"/>
        <w:jc w:val="both"/>
      </w:pPr>
      <w:r>
        <w:rPr>
          <w:sz w:val="20"/>
        </w:rPr>
        <w:t xml:space="preserve">(п. 3 введен </w:t>
      </w:r>
      <w:hyperlink w:history="0" r:id="rId305"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Законом</w:t>
        </w:r>
      </w:hyperlink>
      <w:r>
        <w:rPr>
          <w:sz w:val="20"/>
        </w:rPr>
        <w:t xml:space="preserve"> Новосибирской области от 29.05.2017 N 166-ОЗ)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Глава 5.2, введенная </w:t>
            </w:r>
            <w:hyperlink w:history="0" r:id="rId306"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Законом</w:t>
              </w:r>
            </w:hyperlink>
            <w:r>
              <w:rPr>
                <w:sz w:val="20"/>
                <w:color w:val="392c69"/>
              </w:rPr>
              <w:t xml:space="preserve"> Новосибирской области от 30.06.2015 N 572-ОЗ (ред. 02.11.2022), </w:t>
            </w:r>
            <w:hyperlink w:history="0" r:id="rId307"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Глава 5.2. УПРОЩЕННАЯ СИСТЕМА НАЛОГООБЛОЖЕНИЯ</w:t>
      </w:r>
    </w:p>
    <w:p>
      <w:pPr>
        <w:pStyle w:val="0"/>
        <w:jc w:val="center"/>
      </w:pPr>
      <w:r>
        <w:rPr>
          <w:sz w:val="20"/>
        </w:rPr>
        <w:t xml:space="preserve">(введена </w:t>
      </w:r>
      <w:hyperlink w:history="0" r:id="rId308" w:tooltip="Закон Новосибирской области от 30.06.2015 N 572-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72-ЗС) {КонсультантПлюс}">
        <w:r>
          <w:rPr>
            <w:sz w:val="20"/>
            <w:color w:val="0000ff"/>
          </w:rPr>
          <w:t xml:space="preserve">Законом</w:t>
        </w:r>
      </w:hyperlink>
      <w:r>
        <w:rPr>
          <w:sz w:val="20"/>
        </w:rPr>
        <w:t xml:space="preserve"> Новосибирской области</w:t>
      </w:r>
    </w:p>
    <w:p>
      <w:pPr>
        <w:pStyle w:val="0"/>
        <w:jc w:val="center"/>
      </w:pPr>
      <w:r>
        <w:rPr>
          <w:sz w:val="20"/>
        </w:rPr>
        <w:t xml:space="preserve">от 30.06.2015 N 572-ОЗ)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Ст. 5.2.1 в редакции </w:t>
            </w:r>
            <w:hyperlink w:history="0" r:id="rId309"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Закона</w:t>
              </w:r>
            </w:hyperlink>
            <w:r>
              <w:rPr>
                <w:sz w:val="20"/>
                <w:color w:val="392c69"/>
              </w:rPr>
              <w:t xml:space="preserve"> Новосибирской области от 29.05.2017 N 166-ОЗ (ред. 02.11.2022) </w:t>
            </w:r>
            <w:hyperlink w:history="0" r:id="rId310"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действует</w:t>
              </w:r>
            </w:hyperlink>
            <w:r>
              <w:rPr>
                <w:sz w:val="20"/>
                <w:color w:val="392c69"/>
              </w:rPr>
              <w:t xml:space="preserve">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5.2.1. Налоговая ставка</w:t>
      </w:r>
    </w:p>
    <w:p>
      <w:pPr>
        <w:pStyle w:val="0"/>
        <w:ind w:firstLine="540"/>
        <w:jc w:val="both"/>
      </w:pPr>
      <w:r>
        <w:rPr>
          <w:sz w:val="20"/>
        </w:rPr>
        <w:t xml:space="preserve">(в ред. </w:t>
      </w:r>
      <w:hyperlink w:history="0" r:id="rId311" w:tooltip="Закон Новосибирской области от 29.05.2017 N 166-ОЗ (ред. от 02.11.2022)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05.2017 N 166-ЗС) {КонсультантПлюс}">
        <w:r>
          <w:rPr>
            <w:sz w:val="20"/>
            <w:color w:val="0000ff"/>
          </w:rPr>
          <w:t xml:space="preserve">Закона</w:t>
        </w:r>
      </w:hyperlink>
      <w:r>
        <w:rPr>
          <w:sz w:val="20"/>
        </w:rPr>
        <w:t xml:space="preserve"> Новосибирской области от 29.05.2017 N 166-ОЗ)</w:t>
      </w:r>
    </w:p>
    <w:p>
      <w:pPr>
        <w:pStyle w:val="0"/>
        <w:ind w:firstLine="540"/>
        <w:jc w:val="both"/>
      </w:pPr>
      <w:r>
        <w:rPr>
          <w:sz w:val="20"/>
        </w:rPr>
      </w:r>
    </w:p>
    <w:p>
      <w:pPr>
        <w:pStyle w:val="0"/>
        <w:ind w:firstLine="540"/>
        <w:jc w:val="both"/>
      </w:pPr>
      <w:r>
        <w:rPr>
          <w:sz w:val="20"/>
        </w:rPr>
        <w:t xml:space="preserve">Налоговая </w:t>
      </w:r>
      <w:hyperlink w:history="0" r:id="rId312"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взимаемому в связи с применением упрощенной системы налогообложения на территории Новосибирской области, устанавливается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1 июля 2015 года и осуществляющих виды предпринимательской деятельности, включенные в следующие классификационные группировки в соответствии с Общероссийским </w:t>
      </w:r>
      <w:hyperlink w:history="0" r:id="rId313"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классификатором</w:t>
        </w:r>
      </w:hyperlink>
      <w:r>
        <w:rPr>
          <w:sz w:val="20"/>
        </w:rPr>
        <w:t xml:space="preserve"> видов экономической деятельности (ОКВЭД2) ОК 029-2014 (КДЕС Ред. 2):</w:t>
      </w:r>
    </w:p>
    <w:p>
      <w:pPr>
        <w:pStyle w:val="0"/>
        <w:spacing w:before="200" w:line-rule="auto"/>
        <w:ind w:firstLine="540"/>
        <w:jc w:val="both"/>
      </w:pPr>
      <w:r>
        <w:rPr>
          <w:sz w:val="20"/>
        </w:rPr>
        <w:t xml:space="preserve">1) в производственной сфере:</w:t>
      </w:r>
    </w:p>
    <w:p>
      <w:pPr>
        <w:pStyle w:val="0"/>
        <w:spacing w:before="200" w:line-rule="auto"/>
        <w:ind w:firstLine="540"/>
        <w:jc w:val="both"/>
      </w:pPr>
      <w:r>
        <w:rPr>
          <w:sz w:val="20"/>
        </w:rPr>
        <w:t xml:space="preserve">сельское, лесное хозяйство, охота, рыболовство, рыбоводство, за исключением предоставления услуг в области растениеводства;</w:t>
      </w:r>
    </w:p>
    <w:p>
      <w:pPr>
        <w:pStyle w:val="0"/>
        <w:spacing w:before="200" w:line-rule="auto"/>
        <w:ind w:firstLine="540"/>
        <w:jc w:val="both"/>
      </w:pPr>
      <w:r>
        <w:rPr>
          <w:sz w:val="20"/>
        </w:rPr>
        <w:t xml:space="preserve">обрабатывающие производства, за исключением производства оружия и боеприпасов и видов предпринимательской деятельности, указанных в </w:t>
      </w:r>
      <w:hyperlink w:history="0" w:anchor="P677" w:tooltip="4) в сфере бытовых услуг населению и услуг по предоставлению мест для временного проживания:">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2) в социальной сфере:</w:t>
      </w:r>
    </w:p>
    <w:p>
      <w:pPr>
        <w:pStyle w:val="0"/>
        <w:spacing w:before="200" w:line-rule="auto"/>
        <w:ind w:firstLine="540"/>
        <w:jc w:val="both"/>
      </w:pPr>
      <w:r>
        <w:rPr>
          <w:sz w:val="20"/>
        </w:rPr>
        <w:t xml:space="preserve">образование дополнительное;</w:t>
      </w:r>
    </w:p>
    <w:p>
      <w:pPr>
        <w:pStyle w:val="0"/>
        <w:spacing w:before="200" w:line-rule="auto"/>
        <w:ind w:firstLine="540"/>
        <w:jc w:val="both"/>
      </w:pPr>
      <w:r>
        <w:rPr>
          <w:sz w:val="20"/>
        </w:rPr>
        <w:t xml:space="preserve">общая врачебная практика;</w:t>
      </w:r>
    </w:p>
    <w:p>
      <w:pPr>
        <w:pStyle w:val="0"/>
        <w:spacing w:before="200" w:line-rule="auto"/>
        <w:ind w:firstLine="540"/>
        <w:jc w:val="both"/>
      </w:pPr>
      <w:r>
        <w:rPr>
          <w:sz w:val="20"/>
        </w:rPr>
        <w:t xml:space="preserve">деятельность ветеринарная;</w:t>
      </w:r>
    </w:p>
    <w:p>
      <w:pPr>
        <w:pStyle w:val="0"/>
        <w:spacing w:before="200" w:line-rule="auto"/>
        <w:ind w:firstLine="540"/>
        <w:jc w:val="both"/>
      </w:pPr>
      <w:r>
        <w:rPr>
          <w:sz w:val="20"/>
        </w:rPr>
        <w:t xml:space="preserve">деятельность по уходу с обеспечением проживания;</w:t>
      </w:r>
    </w:p>
    <w:p>
      <w:pPr>
        <w:pStyle w:val="0"/>
        <w:spacing w:before="200" w:line-rule="auto"/>
        <w:ind w:firstLine="540"/>
        <w:jc w:val="both"/>
      </w:pPr>
      <w:r>
        <w:rPr>
          <w:sz w:val="20"/>
        </w:rPr>
        <w:t xml:space="preserve">предоставление социальных услуг без обеспечения проживания, за исключением предоставления социальных услуг без обеспечения проживания престарелым и инвалидам и предоставления услуг по дневному уходу за детьми;</w:t>
      </w:r>
    </w:p>
    <w:p>
      <w:pPr>
        <w:pStyle w:val="0"/>
        <w:spacing w:before="200" w:line-rule="auto"/>
        <w:ind w:firstLine="540"/>
        <w:jc w:val="both"/>
      </w:pPr>
      <w:r>
        <w:rPr>
          <w:sz w:val="20"/>
        </w:rPr>
        <w:t xml:space="preserve">производство кинофильмов, видеофильмов и телевизионных программ;</w:t>
      </w:r>
    </w:p>
    <w:p>
      <w:pPr>
        <w:pStyle w:val="0"/>
        <w:spacing w:before="200" w:line-rule="auto"/>
        <w:ind w:firstLine="540"/>
        <w:jc w:val="both"/>
      </w:pPr>
      <w:r>
        <w:rPr>
          <w:sz w:val="20"/>
        </w:rPr>
        <w:t xml:space="preserve">деятельность творческая, деятельность в области искусства и организации развлечений;</w:t>
      </w:r>
    </w:p>
    <w:p>
      <w:pPr>
        <w:pStyle w:val="0"/>
        <w:spacing w:before="200" w:line-rule="auto"/>
        <w:ind w:firstLine="540"/>
        <w:jc w:val="both"/>
      </w:pPr>
      <w:r>
        <w:rPr>
          <w:sz w:val="20"/>
        </w:rPr>
        <w:t xml:space="preserve">деятельность в области отдыха и развлечений, за исключением организации обрядов (свадеб, юбилеев), в т.ч. музыкального сопровождения и деятельности зрелищно-развлекательной прочей, не включенной в другие группировки;</w:t>
      </w:r>
    </w:p>
    <w:p>
      <w:pPr>
        <w:pStyle w:val="0"/>
        <w:spacing w:before="200" w:line-rule="auto"/>
        <w:ind w:firstLine="540"/>
        <w:jc w:val="both"/>
      </w:pPr>
      <w:r>
        <w:rPr>
          <w:sz w:val="20"/>
        </w:rPr>
        <w:t xml:space="preserve">деятельность библиотек, архивов, музеев и прочих объектов культуры;</w:t>
      </w:r>
    </w:p>
    <w:p>
      <w:pPr>
        <w:pStyle w:val="0"/>
        <w:spacing w:before="200" w:line-rule="auto"/>
        <w:ind w:firstLine="540"/>
        <w:jc w:val="both"/>
      </w:pPr>
      <w:r>
        <w:rPr>
          <w:sz w:val="20"/>
        </w:rPr>
        <w:t xml:space="preserve">деятельность в области спорта прочая;</w:t>
      </w:r>
    </w:p>
    <w:p>
      <w:pPr>
        <w:pStyle w:val="0"/>
        <w:spacing w:before="200" w:line-rule="auto"/>
        <w:ind w:firstLine="540"/>
        <w:jc w:val="both"/>
      </w:pPr>
      <w:r>
        <w:rPr>
          <w:sz w:val="20"/>
        </w:rPr>
        <w:t xml:space="preserve">деятельность фитнес-центров;</w:t>
      </w:r>
    </w:p>
    <w:p>
      <w:pPr>
        <w:pStyle w:val="0"/>
        <w:spacing w:before="200" w:line-rule="auto"/>
        <w:ind w:firstLine="540"/>
        <w:jc w:val="both"/>
      </w:pPr>
      <w:r>
        <w:rPr>
          <w:sz w:val="20"/>
        </w:rPr>
        <w:t xml:space="preserve">3) в научной сфере:</w:t>
      </w:r>
    </w:p>
    <w:p>
      <w:pPr>
        <w:pStyle w:val="0"/>
        <w:spacing w:before="200" w:line-rule="auto"/>
        <w:ind w:firstLine="540"/>
        <w:jc w:val="both"/>
      </w:pPr>
      <w:r>
        <w:rPr>
          <w:sz w:val="20"/>
        </w:rPr>
        <w:t xml:space="preserve">разработка компьютерного программного обеспечения, консультационные услуги в данной области и другие сопутствующие услуги;</w:t>
      </w:r>
    </w:p>
    <w:p>
      <w:pPr>
        <w:pStyle w:val="0"/>
        <w:spacing w:before="200" w:line-rule="auto"/>
        <w:ind w:firstLine="540"/>
        <w:jc w:val="both"/>
      </w:pPr>
      <w:r>
        <w:rPr>
          <w:sz w:val="20"/>
        </w:rPr>
        <w:t xml:space="preserve">деятельность в области информационных технологий;</w:t>
      </w:r>
    </w:p>
    <w:p>
      <w:pPr>
        <w:pStyle w:val="0"/>
        <w:spacing w:before="200" w:line-rule="auto"/>
        <w:ind w:firstLine="540"/>
        <w:jc w:val="both"/>
      </w:pPr>
      <w:r>
        <w:rPr>
          <w:sz w:val="20"/>
        </w:rPr>
        <w:t xml:space="preserve">научные исследования и разработки;</w:t>
      </w:r>
    </w:p>
    <w:bookmarkStart w:id="677" w:name="P677"/>
    <w:bookmarkEnd w:id="677"/>
    <w:p>
      <w:pPr>
        <w:pStyle w:val="0"/>
        <w:spacing w:before="200" w:line-rule="auto"/>
        <w:ind w:firstLine="540"/>
        <w:jc w:val="both"/>
      </w:pPr>
      <w:r>
        <w:rPr>
          <w:sz w:val="20"/>
        </w:rPr>
        <w:t xml:space="preserve">4) в сфере бытовых услуг населению и услуг по предоставлению мест для временного проживания:</w:t>
      </w:r>
    </w:p>
    <w:p>
      <w:pPr>
        <w:pStyle w:val="0"/>
        <w:jc w:val="both"/>
      </w:pPr>
      <w:r>
        <w:rPr>
          <w:sz w:val="20"/>
        </w:rPr>
        <w:t xml:space="preserve">(в ред. </w:t>
      </w:r>
      <w:hyperlink w:history="0" r:id="rId314" w:tooltip="Закон Новосибирской области от 02.11.2022 N 256-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27.10.2022 N 256-ЗС) {КонсультантПлюс}">
        <w:r>
          <w:rPr>
            <w:sz w:val="20"/>
            <w:color w:val="0000ff"/>
          </w:rPr>
          <w:t xml:space="preserve">Закона</w:t>
        </w:r>
      </w:hyperlink>
      <w:r>
        <w:rPr>
          <w:sz w:val="20"/>
        </w:rPr>
        <w:t xml:space="preserve"> Новосибирской области от 02.11.2022 N 256-ОЗ)</w:t>
      </w:r>
    </w:p>
    <w:p>
      <w:pPr>
        <w:pStyle w:val="0"/>
        <w:spacing w:before="200" w:line-rule="auto"/>
        <w:ind w:firstLine="540"/>
        <w:jc w:val="both"/>
      </w:pPr>
      <w:r>
        <w:rPr>
          <w:sz w:val="20"/>
        </w:rPr>
        <w:t xml:space="preserve">предоставление услуг в области растениеводства;</w:t>
      </w:r>
    </w:p>
    <w:p>
      <w:pPr>
        <w:pStyle w:val="0"/>
        <w:spacing w:before="200" w:line-rule="auto"/>
        <w:ind w:firstLine="540"/>
        <w:jc w:val="both"/>
      </w:pPr>
      <w:r>
        <w:rPr>
          <w:sz w:val="20"/>
        </w:rPr>
        <w:t xml:space="preserve">производство щипаной шерсти, сырых шкур и кож крупного рогатого скота, животных семейств лошадиных и оленевых, овец и коз;</w:t>
      </w:r>
    </w:p>
    <w:p>
      <w:pPr>
        <w:pStyle w:val="0"/>
        <w:spacing w:before="200" w:line-rule="auto"/>
        <w:ind w:firstLine="540"/>
        <w:jc w:val="both"/>
      </w:pPr>
      <w:r>
        <w:rPr>
          <w:sz w:val="20"/>
        </w:rPr>
        <w:t xml:space="preserve">производство колбасных изделий;</w:t>
      </w:r>
    </w:p>
    <w:p>
      <w:pPr>
        <w:pStyle w:val="0"/>
        <w:spacing w:before="200" w:line-rule="auto"/>
        <w:ind w:firstLine="540"/>
        <w:jc w:val="both"/>
      </w:pPr>
      <w:r>
        <w:rPr>
          <w:sz w:val="20"/>
        </w:rPr>
        <w:t xml:space="preserve">переработка и консервирование картофеля;</w:t>
      </w:r>
    </w:p>
    <w:p>
      <w:pPr>
        <w:pStyle w:val="0"/>
        <w:spacing w:before="200" w:line-rule="auto"/>
        <w:ind w:firstLine="540"/>
        <w:jc w:val="both"/>
      </w:pPr>
      <w:r>
        <w:rPr>
          <w:sz w:val="20"/>
        </w:rPr>
        <w:t xml:space="preserve">производство масел и жиров;</w:t>
      </w:r>
    </w:p>
    <w:p>
      <w:pPr>
        <w:pStyle w:val="0"/>
        <w:spacing w:before="200" w:line-rule="auto"/>
        <w:ind w:firstLine="540"/>
        <w:jc w:val="both"/>
      </w:pPr>
      <w:r>
        <w:rPr>
          <w:sz w:val="20"/>
        </w:rPr>
        <w:t xml:space="preserve">производство муки из зерновых культур;</w:t>
      </w:r>
    </w:p>
    <w:p>
      <w:pPr>
        <w:pStyle w:val="0"/>
        <w:spacing w:before="200" w:line-rule="auto"/>
        <w:ind w:firstLine="540"/>
        <w:jc w:val="both"/>
      </w:pPr>
      <w:r>
        <w:rPr>
          <w:sz w:val="20"/>
        </w:rPr>
        <w:t xml:space="preserve">производство крупы и гранул из зерновых культур;</w:t>
      </w:r>
    </w:p>
    <w:p>
      <w:pPr>
        <w:pStyle w:val="0"/>
        <w:spacing w:before="200" w:line-rule="auto"/>
        <w:ind w:firstLine="540"/>
        <w:jc w:val="both"/>
      </w:pPr>
      <w:r>
        <w:rPr>
          <w:sz w:val="20"/>
        </w:rPr>
        <w:t xml:space="preserve">подготовка и прядение прочих текстильных волокон;</w:t>
      </w:r>
    </w:p>
    <w:p>
      <w:pPr>
        <w:pStyle w:val="0"/>
        <w:spacing w:before="200" w:line-rule="auto"/>
        <w:ind w:firstLine="540"/>
        <w:jc w:val="both"/>
      </w:pPr>
      <w:r>
        <w:rPr>
          <w:sz w:val="20"/>
        </w:rPr>
        <w:t xml:space="preserve">плиссировка и подобные работы на текстильных материалах;</w:t>
      </w:r>
    </w:p>
    <w:p>
      <w:pPr>
        <w:pStyle w:val="0"/>
        <w:spacing w:before="200" w:line-rule="auto"/>
        <w:ind w:firstLine="540"/>
        <w:jc w:val="both"/>
      </w:pPr>
      <w:r>
        <w:rPr>
          <w:sz w:val="20"/>
        </w:rPr>
        <w:t xml:space="preserve">пошив готовых текстильных изделий по индивидуальному заказу населения, кроме одежды;</w:t>
      </w:r>
    </w:p>
    <w:p>
      <w:pPr>
        <w:pStyle w:val="0"/>
        <w:spacing w:before="200" w:line-rule="auto"/>
        <w:ind w:firstLine="540"/>
        <w:jc w:val="both"/>
      </w:pPr>
      <w:r>
        <w:rPr>
          <w:sz w:val="20"/>
        </w:rPr>
        <w:t xml:space="preserve">изготовление прочих текстильных изделий по индивидуальному заказу населения, не включенных в другие группировки;</w:t>
      </w:r>
    </w:p>
    <w:p>
      <w:pPr>
        <w:pStyle w:val="0"/>
        <w:spacing w:before="200" w:line-rule="auto"/>
        <w:ind w:firstLine="540"/>
        <w:jc w:val="both"/>
      </w:pPr>
      <w:r>
        <w:rPr>
          <w:sz w:val="20"/>
        </w:rPr>
        <w:t xml:space="preserve">пошив одежды из кожи по индивидуальному заказу населения;</w:t>
      </w:r>
    </w:p>
    <w:p>
      <w:pPr>
        <w:pStyle w:val="0"/>
        <w:spacing w:before="200" w:line-rule="auto"/>
        <w:ind w:firstLine="540"/>
        <w:jc w:val="both"/>
      </w:pPr>
      <w:r>
        <w:rPr>
          <w:sz w:val="20"/>
        </w:rPr>
        <w:t xml:space="preserve">пошив производственной одежды по индивидуальному заказу населения;</w:t>
      </w:r>
    </w:p>
    <w:p>
      <w:pPr>
        <w:pStyle w:val="0"/>
        <w:spacing w:before="200" w:line-rule="auto"/>
        <w:ind w:firstLine="540"/>
        <w:jc w:val="both"/>
      </w:pPr>
      <w:r>
        <w:rPr>
          <w:sz w:val="20"/>
        </w:rPr>
        <w:t xml:space="preserve">пошив и вязание прочей верхней одежды по индивидуальному заказу населения;</w:t>
      </w:r>
    </w:p>
    <w:p>
      <w:pPr>
        <w:pStyle w:val="0"/>
        <w:spacing w:before="200" w:line-rule="auto"/>
        <w:ind w:firstLine="540"/>
        <w:jc w:val="both"/>
      </w:pPr>
      <w:r>
        <w:rPr>
          <w:sz w:val="20"/>
        </w:rPr>
        <w:t xml:space="preserve">пошив нательного белья по индивидуальному заказу населения;</w:t>
      </w:r>
    </w:p>
    <w:p>
      <w:pPr>
        <w:pStyle w:val="0"/>
        <w:spacing w:before="200" w:line-rule="auto"/>
        <w:ind w:firstLine="540"/>
        <w:jc w:val="both"/>
      </w:pPr>
      <w:r>
        <w:rPr>
          <w:sz w:val="20"/>
        </w:rPr>
        <w:t xml:space="preserve">пошив и вязание прочей одежды и аксессуаров одежды, головных уборов по индивидуальному заказу населения;</w:t>
      </w:r>
    </w:p>
    <w:p>
      <w:pPr>
        <w:pStyle w:val="0"/>
        <w:spacing w:before="200" w:line-rule="auto"/>
        <w:ind w:firstLine="540"/>
        <w:jc w:val="both"/>
      </w:pPr>
      <w:r>
        <w:rPr>
          <w:sz w:val="20"/>
        </w:rPr>
        <w:t xml:space="preserve">пошив меховых изделий по индивидуальному заказу населения;</w:t>
      </w:r>
    </w:p>
    <w:p>
      <w:pPr>
        <w:pStyle w:val="0"/>
        <w:spacing w:before="200" w:line-rule="auto"/>
        <w:ind w:firstLine="540"/>
        <w:jc w:val="both"/>
      </w:pPr>
      <w:r>
        <w:rPr>
          <w:sz w:val="20"/>
        </w:rPr>
        <w:t xml:space="preserve">изготовление вязаных и трикотажных чулочно-носочных изделий по индивидуальному заказу населения;</w:t>
      </w:r>
    </w:p>
    <w:p>
      <w:pPr>
        <w:pStyle w:val="0"/>
        <w:spacing w:before="200" w:line-rule="auto"/>
        <w:ind w:firstLine="540"/>
        <w:jc w:val="both"/>
      </w:pPr>
      <w:r>
        <w:rPr>
          <w:sz w:val="20"/>
        </w:rPr>
        <w:t xml:space="preserve">изготовление прочих вязаных и трикотажных изделий, не включенных в другие группировки по индивидуальному заказу населения;</w:t>
      </w:r>
    </w:p>
    <w:p>
      <w:pPr>
        <w:pStyle w:val="0"/>
        <w:spacing w:before="200" w:line-rule="auto"/>
        <w:ind w:firstLine="540"/>
        <w:jc w:val="both"/>
      </w:pPr>
      <w:r>
        <w:rPr>
          <w:sz w:val="20"/>
        </w:rPr>
        <w:t xml:space="preserve">пошив обуви и различных дополнений к обуви по индивидуальному заказу населения;</w:t>
      </w:r>
    </w:p>
    <w:p>
      <w:pPr>
        <w:pStyle w:val="0"/>
        <w:spacing w:before="200" w:line-rule="auto"/>
        <w:ind w:firstLine="540"/>
        <w:jc w:val="both"/>
      </w:pPr>
      <w:r>
        <w:rPr>
          <w:sz w:val="20"/>
        </w:rPr>
        <w:t xml:space="preserve">производство деревянной тары;</w:t>
      </w:r>
    </w:p>
    <w:p>
      <w:pPr>
        <w:pStyle w:val="0"/>
        <w:spacing w:before="200" w:line-rule="auto"/>
        <w:ind w:firstLine="540"/>
        <w:jc w:val="both"/>
      </w:pPr>
      <w:r>
        <w:rPr>
          <w:sz w:val="20"/>
        </w:rPr>
        <w:t xml:space="preserve">изготовление изделий из дерева, пробки, соломки и материалов для плетения, корзиночных и плетеных изделий по индивидуальному заказу населения;</w:t>
      </w:r>
    </w:p>
    <w:p>
      <w:pPr>
        <w:pStyle w:val="0"/>
        <w:spacing w:before="200" w:line-rule="auto"/>
        <w:ind w:firstLine="540"/>
        <w:jc w:val="both"/>
      </w:pPr>
      <w:r>
        <w:rPr>
          <w:sz w:val="20"/>
        </w:rPr>
        <w:t xml:space="preserve">деятельность брошюровочно-переплетная и отделочная и сопутствующие услуги;</w:t>
      </w:r>
    </w:p>
    <w:p>
      <w:pPr>
        <w:pStyle w:val="0"/>
        <w:spacing w:before="200" w:line-rule="auto"/>
        <w:ind w:firstLine="540"/>
        <w:jc w:val="both"/>
      </w:pPr>
      <w:r>
        <w:rPr>
          <w:sz w:val="20"/>
        </w:rPr>
        <w:t xml:space="preserve">резка, обработка и отделка камня для памятников;</w:t>
      </w:r>
    </w:p>
    <w:p>
      <w:pPr>
        <w:pStyle w:val="0"/>
        <w:spacing w:before="200" w:line-rule="auto"/>
        <w:ind w:firstLine="540"/>
        <w:jc w:val="both"/>
      </w:pPr>
      <w:r>
        <w:rPr>
          <w:sz w:val="20"/>
        </w:rPr>
        <w:t xml:space="preserve">предоставление услуг по ковке, прессованию, объемной и листовой штамповке и профилированию листового металла;</w:t>
      </w:r>
    </w:p>
    <w:p>
      <w:pPr>
        <w:pStyle w:val="0"/>
        <w:spacing w:before="200" w:line-rule="auto"/>
        <w:ind w:firstLine="540"/>
        <w:jc w:val="both"/>
      </w:pPr>
      <w:r>
        <w:rPr>
          <w:sz w:val="20"/>
        </w:rPr>
        <w:t xml:space="preserve">обработка металлов и нанесение покрытий на металлы;</w:t>
      </w:r>
    </w:p>
    <w:p>
      <w:pPr>
        <w:pStyle w:val="0"/>
        <w:spacing w:before="200" w:line-rule="auto"/>
        <w:ind w:firstLine="540"/>
        <w:jc w:val="both"/>
      </w:pPr>
      <w:r>
        <w:rPr>
          <w:sz w:val="20"/>
        </w:rPr>
        <w:t xml:space="preserve">обработка металлических изделий механическая;</w:t>
      </w:r>
    </w:p>
    <w:p>
      <w:pPr>
        <w:pStyle w:val="0"/>
        <w:spacing w:before="200" w:line-rule="auto"/>
        <w:ind w:firstLine="540"/>
        <w:jc w:val="both"/>
      </w:pPr>
      <w:r>
        <w:rPr>
          <w:sz w:val="20"/>
        </w:rPr>
        <w:t xml:space="preserve">изготовление готовых металлических изделий хозяйственного назначения по индивидуальному заказу населения;</w:t>
      </w:r>
    </w:p>
    <w:p>
      <w:pPr>
        <w:pStyle w:val="0"/>
        <w:spacing w:before="200" w:line-rule="auto"/>
        <w:ind w:firstLine="540"/>
        <w:jc w:val="both"/>
      </w:pPr>
      <w:r>
        <w:rPr>
          <w:sz w:val="20"/>
        </w:rPr>
        <w:t xml:space="preserve">изготовление кухонной мебели по индивидуальному заказу населения;</w:t>
      </w:r>
    </w:p>
    <w:p>
      <w:pPr>
        <w:pStyle w:val="0"/>
        <w:spacing w:before="200" w:line-rule="auto"/>
        <w:ind w:firstLine="540"/>
        <w:jc w:val="both"/>
      </w:pPr>
      <w:r>
        <w:rPr>
          <w:sz w:val="20"/>
        </w:rPr>
        <w:t xml:space="preserve">изготовление прочей мебели и отдельных мебельных деталей, не включенных в другие группировки по индивидуальному заказу населения;</w:t>
      </w:r>
    </w:p>
    <w:p>
      <w:pPr>
        <w:pStyle w:val="0"/>
        <w:spacing w:before="200" w:line-rule="auto"/>
        <w:ind w:firstLine="540"/>
        <w:jc w:val="both"/>
      </w:pPr>
      <w:r>
        <w:rPr>
          <w:sz w:val="20"/>
        </w:rPr>
        <w:t xml:space="preserve">изготовление ювелирных изделий и аналогичных изделий по индивидуальному заказу населения;</w:t>
      </w:r>
    </w:p>
    <w:p>
      <w:pPr>
        <w:pStyle w:val="0"/>
        <w:spacing w:before="200" w:line-rule="auto"/>
        <w:ind w:firstLine="540"/>
        <w:jc w:val="both"/>
      </w:pPr>
      <w:r>
        <w:rPr>
          <w:sz w:val="20"/>
        </w:rPr>
        <w:t xml:space="preserve">изготовление бижутерии и подобных товаров по индивидуальному заказу населения;</w:t>
      </w:r>
    </w:p>
    <w:p>
      <w:pPr>
        <w:pStyle w:val="0"/>
        <w:spacing w:before="200" w:line-rule="auto"/>
        <w:ind w:firstLine="540"/>
        <w:jc w:val="both"/>
      </w:pPr>
      <w:r>
        <w:rPr>
          <w:sz w:val="20"/>
        </w:rPr>
        <w:t xml:space="preserve">производство прочих готовых изделий, не включенных в другие группировки;</w:t>
      </w:r>
    </w:p>
    <w:p>
      <w:pPr>
        <w:pStyle w:val="0"/>
        <w:spacing w:before="200" w:line-rule="auto"/>
        <w:ind w:firstLine="540"/>
        <w:jc w:val="both"/>
      </w:pPr>
      <w:r>
        <w:rPr>
          <w:sz w:val="20"/>
        </w:rPr>
        <w:t xml:space="preserve">ремонт машин и оборудования;</w:t>
      </w:r>
    </w:p>
    <w:p>
      <w:pPr>
        <w:pStyle w:val="0"/>
        <w:spacing w:before="200" w:line-rule="auto"/>
        <w:ind w:firstLine="540"/>
        <w:jc w:val="both"/>
      </w:pPr>
      <w:r>
        <w:rPr>
          <w:sz w:val="20"/>
        </w:rPr>
        <w:t xml:space="preserve">ремонт электронного и оптического оборудования;</w:t>
      </w:r>
    </w:p>
    <w:p>
      <w:pPr>
        <w:pStyle w:val="0"/>
        <w:spacing w:before="200" w:line-rule="auto"/>
        <w:ind w:firstLine="540"/>
        <w:jc w:val="both"/>
      </w:pPr>
      <w:r>
        <w:rPr>
          <w:sz w:val="20"/>
        </w:rPr>
        <w:t xml:space="preserve">ремонт и техническое обслуживание судов и лодок;</w:t>
      </w:r>
    </w:p>
    <w:p>
      <w:pPr>
        <w:pStyle w:val="0"/>
        <w:spacing w:before="200" w:line-rule="auto"/>
        <w:ind w:firstLine="540"/>
        <w:jc w:val="both"/>
      </w:pPr>
      <w:r>
        <w:rPr>
          <w:sz w:val="20"/>
        </w:rPr>
        <w:t xml:space="preserve">ремонт прочего оборудования;</w:t>
      </w:r>
    </w:p>
    <w:p>
      <w:pPr>
        <w:pStyle w:val="0"/>
        <w:spacing w:before="200" w:line-rule="auto"/>
        <w:ind w:firstLine="540"/>
        <w:jc w:val="both"/>
      </w:pPr>
      <w:r>
        <w:rPr>
          <w:sz w:val="20"/>
        </w:rPr>
        <w:t xml:space="preserve">предоставление социальных услуг без обеспечения проживания престарелым и инвалидам;</w:t>
      </w:r>
    </w:p>
    <w:p>
      <w:pPr>
        <w:pStyle w:val="0"/>
        <w:spacing w:before="200" w:line-rule="auto"/>
        <w:ind w:firstLine="540"/>
        <w:jc w:val="both"/>
      </w:pPr>
      <w:r>
        <w:rPr>
          <w:sz w:val="20"/>
        </w:rPr>
        <w:t xml:space="preserve">предоставление услуг по дневному уходу за детьми;</w:t>
      </w:r>
    </w:p>
    <w:p>
      <w:pPr>
        <w:pStyle w:val="0"/>
        <w:spacing w:before="200" w:line-rule="auto"/>
        <w:ind w:firstLine="540"/>
        <w:jc w:val="both"/>
      </w:pPr>
      <w:r>
        <w:rPr>
          <w:sz w:val="20"/>
        </w:rPr>
        <w:t xml:space="preserve">организация обрядов (свадеб, юбилеев), в т.ч. музыкальное сопровождение;</w:t>
      </w:r>
    </w:p>
    <w:p>
      <w:pPr>
        <w:pStyle w:val="0"/>
        <w:spacing w:before="200" w:line-rule="auto"/>
        <w:ind w:firstLine="540"/>
        <w:jc w:val="both"/>
      </w:pPr>
      <w:r>
        <w:rPr>
          <w:sz w:val="20"/>
        </w:rPr>
        <w:t xml:space="preserve">деятельность зрелищно-развлекательная прочая, не включенная в другие группировки;</w:t>
      </w:r>
    </w:p>
    <w:p>
      <w:pPr>
        <w:pStyle w:val="0"/>
        <w:spacing w:before="200" w:line-rule="auto"/>
        <w:ind w:firstLine="540"/>
        <w:jc w:val="both"/>
      </w:pPr>
      <w:r>
        <w:rPr>
          <w:sz w:val="20"/>
        </w:rPr>
        <w:t xml:space="preserve">деятельность по предоставлению мест для временного проживания.</w:t>
      </w:r>
    </w:p>
    <w:p>
      <w:pPr>
        <w:pStyle w:val="0"/>
        <w:jc w:val="both"/>
      </w:pPr>
      <w:r>
        <w:rPr>
          <w:sz w:val="20"/>
        </w:rPr>
        <w:t xml:space="preserve">(абзац введен </w:t>
      </w:r>
      <w:hyperlink w:history="0" r:id="rId315" w:tooltip="Закон Новосибирской области от 02.11.2022 N 256-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27.10.2022 N 256-ЗС) {КонсультантПлюс}">
        <w:r>
          <w:rPr>
            <w:sz w:val="20"/>
            <w:color w:val="0000ff"/>
          </w:rPr>
          <w:t xml:space="preserve">Законом</w:t>
        </w:r>
      </w:hyperlink>
      <w:r>
        <w:rPr>
          <w:sz w:val="20"/>
        </w:rPr>
        <w:t xml:space="preserve"> Новосибирской области от 02.11.2022 N 256-ОЗ)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5.2.2, введенной </w:t>
            </w:r>
            <w:hyperlink w:history="0" r:id="rId316"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Законом</w:t>
              </w:r>
            </w:hyperlink>
            <w:r>
              <w:rPr>
                <w:sz w:val="20"/>
                <w:color w:val="392c69"/>
              </w:rPr>
              <w:t xml:space="preserve"> Новосибирской области от 19.07.2022 N 242-ОЗ, </w:t>
            </w:r>
            <w:hyperlink w:history="0" r:id="rId317"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применяются</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5.2.2. Налоговая ставка по налогу, взимаемому в связи с применением упрощенной системы налогообложения, организациям, осуществляющим деятельность в области информационных технологий</w:t>
      </w:r>
    </w:p>
    <w:p>
      <w:pPr>
        <w:pStyle w:val="0"/>
        <w:ind w:firstLine="540"/>
        <w:jc w:val="both"/>
      </w:pPr>
      <w:r>
        <w:rPr>
          <w:sz w:val="20"/>
        </w:rPr>
        <w:t xml:space="preserve">(введена </w:t>
      </w:r>
      <w:hyperlink w:history="0" r:id="rId318"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Законом</w:t>
        </w:r>
      </w:hyperlink>
      <w:r>
        <w:rPr>
          <w:sz w:val="20"/>
        </w:rPr>
        <w:t xml:space="preserve"> Новосибирской области от 19.07.2022 N 242-ОЗ)</w:t>
      </w:r>
    </w:p>
    <w:p>
      <w:pPr>
        <w:pStyle w:val="0"/>
        <w:ind w:firstLine="540"/>
        <w:jc w:val="both"/>
      </w:pPr>
      <w:r>
        <w:rPr>
          <w:sz w:val="20"/>
        </w:rPr>
      </w:r>
    </w:p>
    <w:p>
      <w:pPr>
        <w:pStyle w:val="0"/>
        <w:ind w:firstLine="540"/>
        <w:jc w:val="both"/>
      </w:pPr>
      <w:r>
        <w:rPr>
          <w:sz w:val="20"/>
        </w:rPr>
        <w:t xml:space="preserve">Организациям, осуществляющим деятельность в области информационных технологий, получившим государственную аккредитацию в порядке, установленном федеральным законодательством, выбравшим в качестве объекта налогообложения доходы, уменьшенные на величину расходов, устанавливается ставка налога, взимаемого в связи с применением упрощенной системы налогообложения, в размере 5 процентов.</w:t>
      </w:r>
    </w:p>
    <w:p>
      <w:pPr>
        <w:pStyle w:val="0"/>
        <w:spacing w:before="200" w:line-rule="auto"/>
        <w:ind w:firstLine="540"/>
        <w:jc w:val="both"/>
      </w:pPr>
      <w:r>
        <w:rPr>
          <w:sz w:val="20"/>
        </w:rPr>
        <w:t xml:space="preserve">Указанная в настоящем пункте налоговая ставка применяется при условии, что по итогам налогового периода в сумме всех доходов организации не менее 70 процентов составляют доходы, указанные в </w:t>
      </w:r>
      <w:hyperlink w:history="0" r:id="rId319"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пункте 1.15 статьи 284</w:t>
        </w:r>
      </w:hyperlink>
      <w:r>
        <w:rPr>
          <w:sz w:val="20"/>
        </w:rPr>
        <w:t xml:space="preserve"> Налогового кодекса Российской Федерации.</w:t>
      </w:r>
    </w:p>
    <w:p>
      <w:pPr>
        <w:pStyle w:val="0"/>
        <w:ind w:firstLine="540"/>
        <w:jc w:val="both"/>
      </w:pPr>
      <w:r>
        <w:rPr>
          <w:sz w:val="20"/>
        </w:rPr>
      </w:r>
    </w:p>
    <w:p>
      <w:pPr>
        <w:pStyle w:val="2"/>
        <w:outlineLvl w:val="1"/>
        <w:jc w:val="center"/>
      </w:pPr>
      <w:r>
        <w:rPr>
          <w:sz w:val="20"/>
        </w:rPr>
        <w:t xml:space="preserve">Раздел IV. НАЛОГОВЫЕ ЛЬГОТЫ, ОСНОВАНИЯ, ПОРЯДОК И УСЛОВИЯ ИХ</w:t>
      </w:r>
    </w:p>
    <w:p>
      <w:pPr>
        <w:pStyle w:val="2"/>
        <w:jc w:val="center"/>
      </w:pPr>
      <w:r>
        <w:rPr>
          <w:sz w:val="20"/>
        </w:rPr>
        <w:t xml:space="preserve">ПРИМЕНЕНИЯ, ПРЕДОСТАВЛЕНИЕ ОТСРОЧКИ, РАССРОЧКИ ПО УПЛАТЕ</w:t>
      </w:r>
    </w:p>
    <w:p>
      <w:pPr>
        <w:pStyle w:val="2"/>
        <w:jc w:val="center"/>
      </w:pPr>
      <w:r>
        <w:rPr>
          <w:sz w:val="20"/>
        </w:rPr>
        <w:t xml:space="preserve">ЗАДОЛЖЕННОСТИ И (ИЛИ) РЕГИОНАЛЬНЫХ НАЛОГОВ, СРОК УПЛАТЫ</w:t>
      </w:r>
    </w:p>
    <w:p>
      <w:pPr>
        <w:pStyle w:val="2"/>
        <w:jc w:val="center"/>
      </w:pPr>
      <w:r>
        <w:rPr>
          <w:sz w:val="20"/>
        </w:rPr>
        <w:t xml:space="preserve">КОТОРЫХ НЕ НАСТУПИЛ, ИНВЕСТИЦИОННОГО НАЛОГОВОГО КРЕДИТА</w:t>
      </w:r>
    </w:p>
    <w:p>
      <w:pPr>
        <w:pStyle w:val="2"/>
        <w:jc w:val="center"/>
      </w:pPr>
      <w:r>
        <w:rPr>
          <w:sz w:val="20"/>
        </w:rPr>
        <w:t xml:space="preserve">ОТДЕЛЬНЫМ КАТЕГОРИЯМ НАЛОГОПЛАТЕЛЬЩИКОВ</w:t>
      </w:r>
    </w:p>
    <w:p>
      <w:pPr>
        <w:pStyle w:val="0"/>
        <w:jc w:val="center"/>
      </w:pPr>
      <w:r>
        <w:rPr>
          <w:sz w:val="20"/>
        </w:rPr>
        <w:t xml:space="preserve">(в ред. Законов Новосибирской области</w:t>
      </w:r>
    </w:p>
    <w:p>
      <w:pPr>
        <w:pStyle w:val="0"/>
        <w:jc w:val="center"/>
      </w:pPr>
      <w:r>
        <w:rPr>
          <w:sz w:val="20"/>
        </w:rPr>
        <w:t xml:space="preserve">от 25.11.2004 </w:t>
      </w:r>
      <w:hyperlink w:history="0" r:id="rId320"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N 235-ОЗ</w:t>
        </w:r>
      </w:hyperlink>
      <w:r>
        <w:rPr>
          <w:sz w:val="20"/>
        </w:rPr>
        <w:t xml:space="preserve">, от 05.03.2013 </w:t>
      </w:r>
      <w:hyperlink w:history="0" r:id="rId321"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w:t>
      </w:r>
    </w:p>
    <w:p>
      <w:pPr>
        <w:pStyle w:val="0"/>
        <w:jc w:val="center"/>
      </w:pPr>
      <w:r>
        <w:rPr>
          <w:sz w:val="20"/>
        </w:rPr>
        <w:t xml:space="preserve">от 14.06.2023 </w:t>
      </w:r>
      <w:hyperlink w:history="0" r:id="rId322"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pPr>
      <w:r>
        <w:rPr>
          <w:sz w:val="20"/>
        </w:rPr>
      </w:r>
    </w:p>
    <w:p>
      <w:pPr>
        <w:pStyle w:val="2"/>
        <w:outlineLvl w:val="2"/>
        <w:jc w:val="center"/>
      </w:pPr>
      <w:r>
        <w:rPr>
          <w:sz w:val="20"/>
        </w:rPr>
        <w:t xml:space="preserve">Глава 6. НАЛОГОВЫЕ ЛЬГОТЫ, ОСНОВАНИЯ, ПОРЯДОК И УСЛОВИЯ</w:t>
      </w:r>
    </w:p>
    <w:p>
      <w:pPr>
        <w:pStyle w:val="2"/>
        <w:jc w:val="center"/>
      </w:pPr>
      <w:r>
        <w:rPr>
          <w:sz w:val="20"/>
        </w:rPr>
        <w:t xml:space="preserve">ИХ ПРИМЕНЕНИЯ, ПРЕДОСТАВЛЕНИЕ ОТСРОЧКИ, РАССРОЧКИ</w:t>
      </w:r>
    </w:p>
    <w:p>
      <w:pPr>
        <w:pStyle w:val="2"/>
        <w:jc w:val="center"/>
      </w:pPr>
      <w:r>
        <w:rPr>
          <w:sz w:val="20"/>
        </w:rPr>
        <w:t xml:space="preserve">ПО УПЛАТЕ ЗАДОЛЖЕННОСТИ И (ИЛИ) РЕГИОНАЛЬНЫХ НАЛОГОВ,</w:t>
      </w:r>
    </w:p>
    <w:p>
      <w:pPr>
        <w:pStyle w:val="2"/>
        <w:jc w:val="center"/>
      </w:pPr>
      <w:r>
        <w:rPr>
          <w:sz w:val="20"/>
        </w:rPr>
        <w:t xml:space="preserve">СРОК УПЛАТЫ КОТОРЫХ НЕ НАСТУПИЛ, ИНВЕСТИЦИОННОГО</w:t>
      </w:r>
    </w:p>
    <w:p>
      <w:pPr>
        <w:pStyle w:val="2"/>
        <w:jc w:val="center"/>
      </w:pPr>
      <w:r>
        <w:rPr>
          <w:sz w:val="20"/>
        </w:rPr>
        <w:t xml:space="preserve">НАЛОГОВОГО КРЕДИТА ИНВЕСТОРАМ</w:t>
      </w:r>
    </w:p>
    <w:p>
      <w:pPr>
        <w:pStyle w:val="0"/>
        <w:jc w:val="center"/>
      </w:pPr>
      <w:r>
        <w:rPr>
          <w:sz w:val="20"/>
        </w:rPr>
        <w:t xml:space="preserve">(в ред. Законов Новосибирской области</w:t>
      </w:r>
    </w:p>
    <w:p>
      <w:pPr>
        <w:pStyle w:val="0"/>
        <w:jc w:val="center"/>
      </w:pPr>
      <w:r>
        <w:rPr>
          <w:sz w:val="20"/>
        </w:rPr>
        <w:t xml:space="preserve">от 05.03.2013 </w:t>
      </w:r>
      <w:hyperlink w:history="0" r:id="rId323"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14.06.2023 </w:t>
      </w:r>
      <w:hyperlink w:history="0" r:id="rId324"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jc w:val="center"/>
      </w:pPr>
      <w:r>
        <w:rPr>
          <w:sz w:val="20"/>
        </w:rPr>
        <w:t xml:space="preserve">(в ред. </w:t>
      </w:r>
      <w:hyperlink w:history="0" r:id="rId325"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Закона</w:t>
        </w:r>
      </w:hyperlink>
      <w:r>
        <w:rPr>
          <w:sz w:val="20"/>
        </w:rPr>
        <w:t xml:space="preserve"> Новосибирской области</w:t>
      </w:r>
    </w:p>
    <w:p>
      <w:pPr>
        <w:pStyle w:val="0"/>
        <w:jc w:val="center"/>
      </w:pPr>
      <w:r>
        <w:rPr>
          <w:sz w:val="20"/>
        </w:rPr>
        <w:t xml:space="preserve">от 25.11.2004 N 235-ОЗ)</w:t>
      </w:r>
    </w:p>
    <w:p>
      <w:pPr>
        <w:pStyle w:val="0"/>
        <w:ind w:firstLine="540"/>
        <w:jc w:val="both"/>
      </w:pPr>
      <w:r>
        <w:rPr>
          <w:sz w:val="20"/>
        </w:rPr>
      </w:r>
    </w:p>
    <w:p>
      <w:pPr>
        <w:pStyle w:val="2"/>
        <w:outlineLvl w:val="3"/>
        <w:ind w:firstLine="540"/>
        <w:jc w:val="both"/>
      </w:pPr>
      <w:r>
        <w:rPr>
          <w:sz w:val="20"/>
        </w:rPr>
        <w:t xml:space="preserve">Статья 6.1. Общие положения</w:t>
      </w:r>
    </w:p>
    <w:p>
      <w:pPr>
        <w:pStyle w:val="0"/>
        <w:ind w:firstLine="540"/>
        <w:jc w:val="both"/>
      </w:pPr>
      <w:r>
        <w:rPr>
          <w:sz w:val="20"/>
        </w:rPr>
      </w:r>
    </w:p>
    <w:p>
      <w:pPr>
        <w:pStyle w:val="0"/>
        <w:ind w:firstLine="540"/>
        <w:jc w:val="both"/>
      </w:pPr>
      <w:r>
        <w:rPr>
          <w:sz w:val="20"/>
        </w:rPr>
        <w:t xml:space="preserve">Настоящей главой устанавливаются налоговые льготы по налогу на имущество организаций, налогу на прибыль организаций, подлежащим зачислению в областной бюджет Новосибирской области, основания, порядок и условия их применения, а также дополнительные основания и условия предоставления отсрочки, рассрочки по уплате задолженности и (или) региональных налогов, срок уплаты которых не наступил (далее - отсрочка, рассрочка), инвестиционного налогового кредита для инвесторов, осуществляющих инвестиционную деятельность на территории Новосибирской области (далее - инвесторы).</w:t>
      </w:r>
    </w:p>
    <w:p>
      <w:pPr>
        <w:pStyle w:val="0"/>
        <w:jc w:val="both"/>
      </w:pPr>
      <w:r>
        <w:rPr>
          <w:sz w:val="20"/>
        </w:rPr>
        <w:t xml:space="preserve">(в ред. Законов Новосибирской области от 15.10.2007 </w:t>
      </w:r>
      <w:hyperlink w:history="0" r:id="rId326" w:tooltip="Закон Новосибирской области от 15.10.2007 N 147-ОЗ &quot;О внесении изменений в статьи 6.1, 6.5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7.09.2007 N 147-ОСД) {КонсультантПлюс}">
        <w:r>
          <w:rPr>
            <w:sz w:val="20"/>
            <w:color w:val="0000ff"/>
          </w:rPr>
          <w:t xml:space="preserve">N 147-ОЗ</w:t>
        </w:r>
      </w:hyperlink>
      <w:r>
        <w:rPr>
          <w:sz w:val="20"/>
        </w:rPr>
        <w:t xml:space="preserve">, от 03.05.2012 </w:t>
      </w:r>
      <w:hyperlink w:history="0" r:id="rId327"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05.03.2013 </w:t>
      </w:r>
      <w:hyperlink w:history="0" r:id="rId328"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01.12.2016 </w:t>
      </w:r>
      <w:hyperlink w:history="0" r:id="rId329"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N 100-ОЗ</w:t>
        </w:r>
      </w:hyperlink>
      <w:r>
        <w:rPr>
          <w:sz w:val="20"/>
        </w:rPr>
        <w:t xml:space="preserve">, от 09.10.2019 </w:t>
      </w:r>
      <w:hyperlink w:history="0" r:id="rId330" w:tooltip="Закон Новосибирской области от 09.10.2019 N 40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3.10.2019 N 403-ЗС) {КонсультантПлюс}">
        <w:r>
          <w:rPr>
            <w:sz w:val="20"/>
            <w:color w:val="0000ff"/>
          </w:rPr>
          <w:t xml:space="preserve">N 403-ОЗ</w:t>
        </w:r>
      </w:hyperlink>
      <w:r>
        <w:rPr>
          <w:sz w:val="20"/>
        </w:rPr>
        <w:t xml:space="preserve">, от 14.06.2023 </w:t>
      </w:r>
      <w:hyperlink w:history="0" r:id="rId331"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6.2. Налоговые льготы, основания, порядок и условия их применения инвесторами, осуществляющими деятельность по реализации прошедшего конкурс инвестиционного проекта</w:t>
      </w:r>
    </w:p>
    <w:p>
      <w:pPr>
        <w:pStyle w:val="0"/>
        <w:jc w:val="both"/>
      </w:pPr>
      <w:r>
        <w:rPr>
          <w:sz w:val="20"/>
        </w:rPr>
        <w:t xml:space="preserve">(в ред. </w:t>
      </w:r>
      <w:hyperlink w:history="0" r:id="rId332"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Закона</w:t>
        </w:r>
      </w:hyperlink>
      <w:r>
        <w:rPr>
          <w:sz w:val="20"/>
        </w:rPr>
        <w:t xml:space="preserve"> Новосибирской области от 13.11.2010 N 2-ОЗ)</w:t>
      </w:r>
    </w:p>
    <w:p>
      <w:pPr>
        <w:pStyle w:val="0"/>
        <w:jc w:val="both"/>
      </w:pPr>
      <w:r>
        <w:rPr>
          <w:sz w:val="20"/>
        </w:rPr>
      </w:r>
    </w:p>
    <w:bookmarkStart w:id="757" w:name="P757"/>
    <w:bookmarkEnd w:id="757"/>
    <w:p>
      <w:pPr>
        <w:pStyle w:val="0"/>
        <w:ind w:firstLine="540"/>
        <w:jc w:val="both"/>
      </w:pPr>
      <w:r>
        <w:rPr>
          <w:sz w:val="20"/>
        </w:rPr>
        <w:t xml:space="preserve">1.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освобождаются от уплаты налога на имущество организаций в части имущества, используемого инвесторами для реализации инвестиционного проекта.</w:t>
      </w:r>
    </w:p>
    <w:p>
      <w:pPr>
        <w:pStyle w:val="0"/>
        <w:jc w:val="both"/>
      </w:pPr>
      <w:r>
        <w:rPr>
          <w:sz w:val="20"/>
        </w:rPr>
        <w:t xml:space="preserve">(в ред. </w:t>
      </w:r>
      <w:hyperlink w:history="0" r:id="rId333"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Закона</w:t>
        </w:r>
      </w:hyperlink>
      <w:r>
        <w:rPr>
          <w:sz w:val="20"/>
        </w:rPr>
        <w:t xml:space="preserve"> Новосибирской области от 13.11.2010 N 2-ОЗ)</w:t>
      </w:r>
    </w:p>
    <w:bookmarkStart w:id="759" w:name="P759"/>
    <w:bookmarkEnd w:id="759"/>
    <w:p>
      <w:pPr>
        <w:pStyle w:val="0"/>
        <w:spacing w:before="200" w:line-rule="auto"/>
        <w:ind w:firstLine="540"/>
        <w:jc w:val="both"/>
      </w:pPr>
      <w:r>
        <w:rPr>
          <w:sz w:val="20"/>
        </w:rPr>
        <w:t xml:space="preserve">2. Инвесторам, указанным в </w:t>
      </w:r>
      <w:hyperlink w:history="0" w:anchor="P757" w:tooltip="1. Инвесторы, осуществляющие деятельность по реализации прошедшего конкурс инвестиционного проекта, на период срока окупаемости, предусмотренного инвестиционным проектом, но в пределах срока фактической окупаемости вложенных инвесторами инвестиций освобождаются от уплаты налога на имущество организаций в части имущества, используемого инвесторами для реализации инвестиционного проекта.">
        <w:r>
          <w:rPr>
            <w:sz w:val="20"/>
            <w:color w:val="0000ff"/>
          </w:rPr>
          <w:t xml:space="preserve">пункте 1</w:t>
        </w:r>
      </w:hyperlink>
      <w:r>
        <w:rPr>
          <w:sz w:val="20"/>
        </w:rPr>
        <w:t xml:space="preserve"> настоящей статьи, налоговая </w:t>
      </w:r>
      <w:hyperlink w:history="0" r:id="rId334"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w:t>
      </w:r>
    </w:p>
    <w:p>
      <w:pPr>
        <w:pStyle w:val="0"/>
        <w:spacing w:before="200" w:line-rule="auto"/>
        <w:ind w:firstLine="540"/>
        <w:jc w:val="both"/>
      </w:pPr>
      <w:r>
        <w:rPr>
          <w:sz w:val="20"/>
        </w:rPr>
        <w:t xml:space="preserve">Налоговая ставка, установленная настоящим пунктом, применяется до 1 января 2025 года.</w:t>
      </w:r>
    </w:p>
    <w:p>
      <w:pPr>
        <w:pStyle w:val="0"/>
        <w:jc w:val="both"/>
      </w:pPr>
      <w:r>
        <w:rPr>
          <w:sz w:val="20"/>
        </w:rPr>
        <w:t xml:space="preserve">(абзац введен </w:t>
      </w:r>
      <w:hyperlink w:history="0" r:id="rId335"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Законом</w:t>
        </w:r>
      </w:hyperlink>
      <w:r>
        <w:rPr>
          <w:sz w:val="20"/>
        </w:rPr>
        <w:t xml:space="preserve"> Новосибирской области от 02.11.2018 N 296-ОЗ; в ред. </w:t>
      </w:r>
      <w:hyperlink w:history="0" r:id="rId336"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Закона</w:t>
        </w:r>
      </w:hyperlink>
      <w:r>
        <w:rPr>
          <w:sz w:val="20"/>
        </w:rPr>
        <w:t xml:space="preserve"> Новосибирской области от 21.12.2022 N 308-ОЗ)</w:t>
      </w:r>
    </w:p>
    <w:p>
      <w:pPr>
        <w:pStyle w:val="0"/>
        <w:jc w:val="both"/>
      </w:pPr>
      <w:r>
        <w:rPr>
          <w:sz w:val="20"/>
        </w:rPr>
        <w:t xml:space="preserve">(п. 2 в ред. </w:t>
      </w:r>
      <w:hyperlink w:history="0" r:id="rId337"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Закона</w:t>
        </w:r>
      </w:hyperlink>
      <w:r>
        <w:rPr>
          <w:sz w:val="20"/>
        </w:rPr>
        <w:t xml:space="preserve"> Новосибирской области от 01.12.2016 N 100-ОЗ)</w:t>
      </w:r>
    </w:p>
    <w:p>
      <w:pPr>
        <w:pStyle w:val="0"/>
        <w:spacing w:before="200" w:line-rule="auto"/>
        <w:ind w:firstLine="540"/>
        <w:jc w:val="both"/>
      </w:pPr>
      <w:r>
        <w:rPr>
          <w:sz w:val="20"/>
        </w:rPr>
        <w:t xml:space="preserve">3. Инвесторы, осуществляющие деятельность по реализации прошедшего конкурс инвестиционного проекта, заявляют сумму налоговых льгот, установленных настоящей статьей. При этом сумма налогов, фактически не внесенная в отчетном периоде в областной бюджет Новосибирской области по основаниям, установленным настоящей статьей, не должна превышать предельной суммы налоговых льгот, установленных Правительством Новосибирской области по результатам конкурсного отбора инвестиционных проектов.</w:t>
      </w:r>
    </w:p>
    <w:p>
      <w:pPr>
        <w:pStyle w:val="0"/>
        <w:jc w:val="both"/>
      </w:pPr>
      <w:r>
        <w:rPr>
          <w:sz w:val="20"/>
        </w:rPr>
        <w:t xml:space="preserve">(в ред. Законов Новосибирской области от 13.11.2010 </w:t>
      </w:r>
      <w:hyperlink w:history="0" r:id="rId338"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N 2-ОЗ</w:t>
        </w:r>
      </w:hyperlink>
      <w:r>
        <w:rPr>
          <w:sz w:val="20"/>
        </w:rPr>
        <w:t xml:space="preserve">, от 03.05.2012 </w:t>
      </w:r>
      <w:hyperlink w:history="0" r:id="rId339"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05.03.2013 </w:t>
      </w:r>
      <w:hyperlink w:history="0" r:id="rId340"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w:t>
      </w:r>
    </w:p>
    <w:p>
      <w:pPr>
        <w:pStyle w:val="0"/>
        <w:spacing w:before="200" w:line-rule="auto"/>
        <w:ind w:firstLine="540"/>
        <w:jc w:val="both"/>
      </w:pPr>
      <w:r>
        <w:rPr>
          <w:sz w:val="20"/>
        </w:rPr>
        <w:t xml:space="preserve">4. Областной исполнительный орган государственной власти Новосибирской области, уполномоченный в сфере инвестиционной деятельности, передает данные о налогоплательщиках, соответствующих основаниям и условиям для применения налоговых льгот, установленным настоящей главой, в Управление Федеральной налоговой службы по Новосибирской области до 20 числа второго месяца, следующего за отчетным кварталом, по итогам года - до 20 апреля следующего года.</w:t>
      </w:r>
    </w:p>
    <w:p>
      <w:pPr>
        <w:pStyle w:val="0"/>
        <w:jc w:val="both"/>
      </w:pPr>
      <w:r>
        <w:rPr>
          <w:sz w:val="20"/>
        </w:rPr>
        <w:t xml:space="preserve">(п. 4 введен </w:t>
      </w:r>
      <w:hyperlink w:history="0" r:id="rId341"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Законом</w:t>
        </w:r>
      </w:hyperlink>
      <w:r>
        <w:rPr>
          <w:sz w:val="20"/>
        </w:rPr>
        <w:t xml:space="preserve"> Новосибирской области от 05.03.2013 N 299-ОЗ; в ред. </w:t>
      </w:r>
      <w:hyperlink w:history="0" r:id="rId342"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Закона</w:t>
        </w:r>
      </w:hyperlink>
      <w:r>
        <w:rPr>
          <w:sz w:val="20"/>
        </w:rPr>
        <w:t xml:space="preserve"> Новосибирской области от 01.12.2016 N 100-ОЗ)</w:t>
      </w:r>
    </w:p>
    <w:p>
      <w:pPr>
        <w:pStyle w:val="0"/>
        <w:ind w:firstLine="540"/>
        <w:jc w:val="both"/>
      </w:pPr>
      <w:r>
        <w:rPr>
          <w:sz w:val="20"/>
        </w:rPr>
      </w:r>
    </w:p>
    <w:p>
      <w:pPr>
        <w:pStyle w:val="2"/>
        <w:outlineLvl w:val="3"/>
        <w:ind w:firstLine="540"/>
        <w:jc w:val="both"/>
      </w:pPr>
      <w:r>
        <w:rPr>
          <w:sz w:val="20"/>
        </w:rPr>
        <w:t xml:space="preserve">Статья 6.2.1. Налоговые льготы, порядок и условия их применения инвесторами, являющимися стороной специального инвестиционного контракта</w:t>
      </w:r>
    </w:p>
    <w:p>
      <w:pPr>
        <w:pStyle w:val="0"/>
        <w:ind w:firstLine="540"/>
        <w:jc w:val="both"/>
      </w:pPr>
      <w:r>
        <w:rPr>
          <w:sz w:val="20"/>
        </w:rPr>
        <w:t xml:space="preserve">(в ред. </w:t>
      </w:r>
      <w:hyperlink w:history="0" r:id="rId343" w:tooltip="Закон Новосибирской области от 10.11.2020 N 2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11.2020 N 21-ЗС) {КонсультантПлюс}">
        <w:r>
          <w:rPr>
            <w:sz w:val="20"/>
            <w:color w:val="0000ff"/>
          </w:rPr>
          <w:t xml:space="preserve">Закона</w:t>
        </w:r>
      </w:hyperlink>
      <w:r>
        <w:rPr>
          <w:sz w:val="20"/>
        </w:rPr>
        <w:t xml:space="preserve"> Новосибирской области от 10.11.2020 N 21-ОЗ)</w:t>
      </w:r>
    </w:p>
    <w:p>
      <w:pPr>
        <w:pStyle w:val="0"/>
        <w:ind w:firstLine="540"/>
        <w:jc w:val="both"/>
      </w:pPr>
      <w:r>
        <w:rPr>
          <w:sz w:val="20"/>
        </w:rPr>
      </w:r>
    </w:p>
    <w:p>
      <w:pPr>
        <w:pStyle w:val="0"/>
        <w:ind w:firstLine="540"/>
        <w:jc w:val="both"/>
      </w:pPr>
      <w:r>
        <w:rPr>
          <w:sz w:val="20"/>
        </w:rPr>
        <w:t xml:space="preserve">1. Инвестор, являющийся стороной специального инвестиционного контракта, заключенного совместно с Российской Федерацией, и Новосибирской областью, и муниципальным образованием Новосибирской области, отвечающий требованиям </w:t>
      </w:r>
      <w:hyperlink w:history="0" r:id="rId344" w:tooltip="&quot;Налоговый кодекс Российской Федерации (часть первая)&quot; от 31.07.1998 N 146-ФЗ (ред. от 23.03.2024) {КонсультантПлюс}">
        <w:r>
          <w:rPr>
            <w:sz w:val="20"/>
            <w:color w:val="0000ff"/>
          </w:rPr>
          <w:t xml:space="preserve">статьи 25.16</w:t>
        </w:r>
      </w:hyperlink>
      <w:r>
        <w:rPr>
          <w:sz w:val="20"/>
        </w:rPr>
        <w:t xml:space="preserve"> Налогового кодекса Российской Федерации, освобождается от уплаты налога на имущество организаций в отношении имущества, используемого для реализации специального инвестиционного контракта.</w:t>
      </w:r>
    </w:p>
    <w:bookmarkStart w:id="772" w:name="P772"/>
    <w:bookmarkEnd w:id="772"/>
    <w:p>
      <w:pPr>
        <w:pStyle w:val="0"/>
        <w:spacing w:before="200" w:line-rule="auto"/>
        <w:ind w:firstLine="540"/>
        <w:jc w:val="both"/>
      </w:pPr>
      <w:r>
        <w:rPr>
          <w:sz w:val="20"/>
        </w:rPr>
        <w:t xml:space="preserve">2. Инвестору, являющемуся стороной специального инвестиционного контракта, заключенного совместно с Российской Федерацией, и Новосибирской областью, и муниципальным образованием Новосибирской области, отвечающему требованиям </w:t>
      </w:r>
      <w:hyperlink w:history="0" r:id="rId345" w:tooltip="&quot;Налоговый кодекс Российской Федерации (часть первая)&quot; от 31.07.1998 N 146-ФЗ (ред. от 23.03.2024) {КонсультантПлюс}">
        <w:r>
          <w:rPr>
            <w:sz w:val="20"/>
            <w:color w:val="0000ff"/>
          </w:rPr>
          <w:t xml:space="preserve">статьи 25.16</w:t>
        </w:r>
      </w:hyperlink>
      <w:r>
        <w:rPr>
          <w:sz w:val="20"/>
        </w:rPr>
        <w:t xml:space="preserve"> Налогового кодекса Российской Федерации, налоговая </w:t>
      </w:r>
      <w:hyperlink w:history="0" r:id="rId346"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ст. 6.2.2, введенной </w:t>
            </w:r>
            <w:hyperlink w:history="0" r:id="rId347" w:tooltip="Закон Новосибирской области от 09.10.2019 N 40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3.10.2019 N 403-ЗС) {КонсультантПлюс}">
              <w:r>
                <w:rPr>
                  <w:sz w:val="20"/>
                  <w:color w:val="0000ff"/>
                </w:rPr>
                <w:t xml:space="preserve">Законом</w:t>
              </w:r>
            </w:hyperlink>
            <w:r>
              <w:rPr>
                <w:sz w:val="20"/>
                <w:color w:val="392c69"/>
              </w:rPr>
              <w:t xml:space="preserve"> Новосибирской области от 09.10.2019 N 403-ОЗ, </w:t>
            </w:r>
            <w:hyperlink w:history="0" r:id="rId348" w:tooltip="Закон Новосибирской области от 09.10.2019 N 40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3.10.2019 N 403-ЗС) {КонсультантПлюс}">
              <w:r>
                <w:rPr>
                  <w:sz w:val="20"/>
                  <w:color w:val="0000ff"/>
                </w:rPr>
                <w:t xml:space="preserve">применяются</w:t>
              </w:r>
            </w:hyperlink>
            <w:r>
              <w:rPr>
                <w:sz w:val="20"/>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6.2.2. Инвестиционный налоговый вычет по налогу на прибыль организаций</w:t>
      </w:r>
    </w:p>
    <w:p>
      <w:pPr>
        <w:pStyle w:val="0"/>
        <w:ind w:firstLine="540"/>
        <w:jc w:val="both"/>
      </w:pPr>
      <w:r>
        <w:rPr>
          <w:sz w:val="20"/>
        </w:rPr>
        <w:t xml:space="preserve">(введена </w:t>
      </w:r>
      <w:hyperlink w:history="0" r:id="rId349" w:tooltip="Закон Новосибирской области от 09.10.2019 N 403-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3.10.2019 N 403-ЗС) {КонсультантПлюс}">
        <w:r>
          <w:rPr>
            <w:sz w:val="20"/>
            <w:color w:val="0000ff"/>
          </w:rPr>
          <w:t xml:space="preserve">Законом</w:t>
        </w:r>
      </w:hyperlink>
      <w:r>
        <w:rPr>
          <w:sz w:val="20"/>
        </w:rPr>
        <w:t xml:space="preserve"> Новосибирской области от 09.10.2019 N 403-ОЗ)</w:t>
      </w:r>
    </w:p>
    <w:p>
      <w:pPr>
        <w:pStyle w:val="0"/>
        <w:ind w:firstLine="540"/>
        <w:jc w:val="both"/>
      </w:pPr>
      <w:r>
        <w:rPr>
          <w:sz w:val="20"/>
        </w:rPr>
      </w:r>
    </w:p>
    <w:p>
      <w:pPr>
        <w:pStyle w:val="0"/>
        <w:ind w:firstLine="540"/>
        <w:jc w:val="both"/>
      </w:pPr>
      <w:r>
        <w:rPr>
          <w:sz w:val="20"/>
        </w:rPr>
        <w:t xml:space="preserve">1. Налогоплательщики, осуществляющие деятельность, относящуюся к видам экономической деятельности "обрабатывающие производства", "производство электроэнергии тепловыми электростанциями, в том числе деятельность по обеспечению работоспособности электростанций" и "деятельность в сфере телекоммуникаций" Общероссийского </w:t>
      </w:r>
      <w:hyperlink w:history="0" r:id="rId350"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ОК 029-2014 (КДЕС Ред. 2), за исключением налогоплательщиков, категории которых указаны в </w:t>
      </w:r>
      <w:hyperlink w:history="0" r:id="rId351"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пункте 11 статьи 286.1</w:t>
        </w:r>
      </w:hyperlink>
      <w:r>
        <w:rPr>
          <w:sz w:val="20"/>
        </w:rPr>
        <w:t xml:space="preserve"> Налогового </w:t>
      </w:r>
      <w:hyperlink w:history="0" r:id="rId352"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кодекса</w:t>
        </w:r>
      </w:hyperlink>
      <w:r>
        <w:rPr>
          <w:sz w:val="20"/>
        </w:rPr>
        <w:t xml:space="preserve"> Российской Федерации, а также налогоплательщиков - получателей налоговой льготы по налогу на прибыль организаций, указанных в </w:t>
      </w:r>
      <w:hyperlink w:history="0" w:anchor="P759" w:tooltip="2. Инвесторам, указанным в пункте 1 настоящей статьи, налоговая ставка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
        <w:r>
          <w:rPr>
            <w:sz w:val="20"/>
            <w:color w:val="0000ff"/>
          </w:rPr>
          <w:t xml:space="preserve">пункте 2 статьи 6.2</w:t>
        </w:r>
      </w:hyperlink>
      <w:r>
        <w:rPr>
          <w:sz w:val="20"/>
        </w:rPr>
        <w:t xml:space="preserve">, </w:t>
      </w:r>
      <w:hyperlink w:history="0" w:anchor="P772" w:tooltip="2. Инвестору, являющемуся стороной специального инвестиционного контракта, заключенного совместно с Российской Федерацией, и Новосибирской областью, и муниципальным образованием Новосибирской области, отвечающему требованиям статьи 25.16 Налогового кодекса Российской Федерации, налоговая ставка по налогу на прибыль организаций для исчисления суммы налога в части, подлежащей уплате в областной бюджет Новосибирской области, устанавливается в размере 13,5%.">
        <w:r>
          <w:rPr>
            <w:sz w:val="20"/>
            <w:color w:val="0000ff"/>
          </w:rPr>
          <w:t xml:space="preserve">пункте 2 статьи 6.2.1</w:t>
        </w:r>
      </w:hyperlink>
      <w:r>
        <w:rPr>
          <w:sz w:val="20"/>
        </w:rPr>
        <w:t xml:space="preserve">, </w:t>
      </w:r>
      <w:hyperlink w:history="0" w:anchor="P844" w:tooltip="1. Промышленным предприятиям устанавливаются налоговые ставки по налогу на прибыль организаций в следующих размерах:">
        <w:r>
          <w:rPr>
            <w:sz w:val="20"/>
            <w:color w:val="0000ff"/>
          </w:rPr>
          <w:t xml:space="preserve">пункте 1 статьи 7.1.2</w:t>
        </w:r>
      </w:hyperlink>
      <w:r>
        <w:rPr>
          <w:sz w:val="20"/>
        </w:rPr>
        <w:t xml:space="preserve"> настоящего Закона, имеют право на применение инвестиционного налогового вычета по налогу на прибыль организаций (далее - инвестиционный налоговый вычет) в отношении расходов, указанных в </w:t>
      </w:r>
      <w:hyperlink w:history="0" w:anchor="P782" w:tooltip="2. Инвестиционный налоговый вычет текущего налогового (отчетного) периода устанавливается в размере 90 процентов суммы расходов, составляющей первоначальную стоимость основного средства на приобретение, сооружение, изготовление, доставку и доведение основного средства до состояния, в котором оно пригодно для использования, в соответствии с абзацем вторым пункта 1 статьи 257 Налогового кодекса Российской Федерации и (или) 90 процентов суммы расходов, составляющей величину изменения первоначальной стоимост...">
        <w:r>
          <w:rPr>
            <w:sz w:val="20"/>
            <w:color w:val="0000ff"/>
          </w:rPr>
          <w:t xml:space="preserve">пункте 2</w:t>
        </w:r>
      </w:hyperlink>
      <w:r>
        <w:rPr>
          <w:sz w:val="20"/>
        </w:rPr>
        <w:t xml:space="preserve"> настоящей статьи, применительно к объектам основных средств, относящимся к организациям или обособленным подразделениям организаций, расположенным на территории Новосибирской области.</w:t>
      </w:r>
    </w:p>
    <w:p>
      <w:pPr>
        <w:pStyle w:val="0"/>
        <w:jc w:val="both"/>
      </w:pPr>
      <w:r>
        <w:rPr>
          <w:sz w:val="20"/>
        </w:rPr>
        <w:t xml:space="preserve">(в ред. Законов Новосибирской области от 28.11.2019 </w:t>
      </w:r>
      <w:hyperlink w:history="0" r:id="rId353"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N 429-ОЗ</w:t>
        </w:r>
      </w:hyperlink>
      <w:r>
        <w:rPr>
          <w:sz w:val="20"/>
        </w:rPr>
        <w:t xml:space="preserve">, от 02.11.2021 </w:t>
      </w:r>
      <w:hyperlink w:history="0" r:id="rId354" w:tooltip="Закон Новосибирской области от 02.11.2021 N 134-ОЗ &quot;О внесении изменения в статью 6.2.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4-ЗС) {КонсультантПлюс}">
        <w:r>
          <w:rPr>
            <w:sz w:val="20"/>
            <w:color w:val="0000ff"/>
          </w:rPr>
          <w:t xml:space="preserve">N 134-ОЗ</w:t>
        </w:r>
      </w:hyperlink>
      <w:r>
        <w:rPr>
          <w:sz w:val="20"/>
        </w:rPr>
        <w:t xml:space="preserve">, от 19.07.2022 </w:t>
      </w:r>
      <w:hyperlink w:history="0" r:id="rId355"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N 242-ОЗ</w:t>
        </w:r>
      </w:hyperlink>
      <w:r>
        <w:rPr>
          <w:sz w:val="20"/>
        </w:rPr>
        <w:t xml:space="preserve">)</w:t>
      </w:r>
    </w:p>
    <w:p>
      <w:pPr>
        <w:pStyle w:val="0"/>
        <w:spacing w:before="200" w:line-rule="auto"/>
        <w:ind w:firstLine="540"/>
        <w:jc w:val="both"/>
      </w:pPr>
      <w:r>
        <w:rPr>
          <w:sz w:val="20"/>
        </w:rPr>
        <w:t xml:space="preserve">Инвестиционный налоговый вычет применяется к объектам основных средств, относящимся к третьей - десятой амортизационным группам (за исключением относящихся к восьмой - десятой амортизационным группам зданий, сооружений, передаточных устройств), по месту нахождения организаций и (или) по месту нахождения ее обособленных подразделений, к которым относятся указанные объекты.</w:t>
      </w:r>
    </w:p>
    <w:p>
      <w:pPr>
        <w:pStyle w:val="0"/>
        <w:jc w:val="both"/>
      </w:pPr>
      <w:r>
        <w:rPr>
          <w:sz w:val="20"/>
        </w:rPr>
        <w:t xml:space="preserve">(в ред. </w:t>
      </w:r>
      <w:hyperlink w:history="0" r:id="rId356"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Закона</w:t>
        </w:r>
      </w:hyperlink>
      <w:r>
        <w:rPr>
          <w:sz w:val="20"/>
        </w:rPr>
        <w:t xml:space="preserve"> Новосибирской области от 28.11.2019 N 429-ОЗ)</w:t>
      </w:r>
    </w:p>
    <w:bookmarkStart w:id="782" w:name="P782"/>
    <w:bookmarkEnd w:id="782"/>
    <w:p>
      <w:pPr>
        <w:pStyle w:val="0"/>
        <w:spacing w:before="200" w:line-rule="auto"/>
        <w:ind w:firstLine="540"/>
        <w:jc w:val="both"/>
      </w:pPr>
      <w:r>
        <w:rPr>
          <w:sz w:val="20"/>
        </w:rPr>
        <w:t xml:space="preserve">2. Инвестиционный налоговый вычет текущего налогового (отчетного) периода устанавливается в размере 90 процентов суммы расходов, составляющей первоначальную стоимость основного средства на приобретение, сооружение, изготовление, доставку и доведение основного средства до состояния, в котором оно пригодно для использования, в соответствии с </w:t>
      </w:r>
      <w:hyperlink w:history="0" r:id="rId357"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абзацем вторым пункта 1 статьи 257</w:t>
        </w:r>
      </w:hyperlink>
      <w:r>
        <w:rPr>
          <w:sz w:val="20"/>
        </w:rPr>
        <w:t xml:space="preserve"> Налогового кодекса Российской Федерации и (или) 90 процентов суммы расходов, составляющей величину изменения первоначальной стоимости основного средства в случаях достройки, дооборудования, реконструкции, модернизации, технического перевооружения соответствующих объектов основных средств (за исключением расходов на ликвидацию основных средств), но не более предельной величины инвестиционного налогового вычета, определяемой в соответствии с </w:t>
      </w:r>
      <w:hyperlink w:history="0" r:id="rId358"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пунктом 2.1 статьи 286.1</w:t>
        </w:r>
      </w:hyperlink>
      <w:r>
        <w:rPr>
          <w:sz w:val="20"/>
        </w:rPr>
        <w:t xml:space="preserve"> Налогового кодекса Российской Федерации. Сумма расходов инвестора, указанных в настоящем пункте,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но не более чем в пяти последовательных налоговых периодах применения инвестиционного налогового вычета.</w:t>
      </w:r>
    </w:p>
    <w:p>
      <w:pPr>
        <w:pStyle w:val="0"/>
        <w:jc w:val="both"/>
      </w:pPr>
      <w:r>
        <w:rPr>
          <w:sz w:val="20"/>
        </w:rPr>
        <w:t xml:space="preserve">(в ред. Законов Новосибирской области от 28.11.2019 </w:t>
      </w:r>
      <w:hyperlink w:history="0" r:id="rId359" w:tooltip="Закон Новосибирской области от 28.11.2019 N 42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1.2019 N 429-ЗС) {КонсультантПлюс}">
        <w:r>
          <w:rPr>
            <w:sz w:val="20"/>
            <w:color w:val="0000ff"/>
          </w:rPr>
          <w:t xml:space="preserve">N 429-ОЗ</w:t>
        </w:r>
      </w:hyperlink>
      <w:r>
        <w:rPr>
          <w:sz w:val="20"/>
        </w:rPr>
        <w:t xml:space="preserve">, от 10.11.2020 </w:t>
      </w:r>
      <w:hyperlink w:history="0" r:id="rId360" w:tooltip="Закон Новосибирской области от 10.11.2020 N 2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11.2020 N 21-ЗС) {КонсультантПлюс}">
        <w:r>
          <w:rPr>
            <w:sz w:val="20"/>
            <w:color w:val="0000ff"/>
          </w:rPr>
          <w:t xml:space="preserve">N 21-ОЗ</w:t>
        </w:r>
      </w:hyperlink>
      <w:r>
        <w:rPr>
          <w:sz w:val="20"/>
        </w:rPr>
        <w:t xml:space="preserve">)</w:t>
      </w:r>
    </w:p>
    <w:p>
      <w:pPr>
        <w:pStyle w:val="0"/>
        <w:spacing w:before="200" w:line-rule="auto"/>
        <w:ind w:firstLine="540"/>
        <w:jc w:val="both"/>
      </w:pPr>
      <w:r>
        <w:rPr>
          <w:sz w:val="20"/>
        </w:rPr>
        <w:t xml:space="preserve">Размер </w:t>
      </w:r>
      <w:hyperlink w:history="0" r:id="rId361"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ставки</w:t>
        </w:r>
      </w:hyperlink>
      <w:r>
        <w:rPr>
          <w:sz w:val="20"/>
        </w:rPr>
        <w:t xml:space="preserve"> налога на прибыль организаций для определения предельной величины инвестиционного налогового вычета составляет 5 процентов.</w:t>
      </w:r>
    </w:p>
    <w:p>
      <w:pPr>
        <w:pStyle w:val="0"/>
        <w:ind w:firstLine="540"/>
        <w:jc w:val="both"/>
      </w:pPr>
      <w:r>
        <w:rPr>
          <w:sz w:val="20"/>
        </w:rPr>
      </w:r>
    </w:p>
    <w:p>
      <w:pPr>
        <w:pStyle w:val="2"/>
        <w:outlineLvl w:val="3"/>
        <w:ind w:firstLine="540"/>
        <w:jc w:val="both"/>
      </w:pPr>
      <w:r>
        <w:rPr>
          <w:sz w:val="20"/>
        </w:rPr>
        <w:t xml:space="preserve">Статья 6.3. Утратила силу с 1 января 2011 года. - </w:t>
      </w:r>
      <w:hyperlink w:history="0" r:id="rId362"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Закон</w:t>
        </w:r>
      </w:hyperlink>
      <w:r>
        <w:rPr>
          <w:sz w:val="20"/>
        </w:rPr>
        <w:t xml:space="preserve"> Новосибирской области от 13.11.2010 N 2-ОЗ.</w:t>
      </w:r>
    </w:p>
    <w:p>
      <w:pPr>
        <w:pStyle w:val="0"/>
        <w:ind w:firstLine="540"/>
        <w:jc w:val="both"/>
      </w:pPr>
      <w:r>
        <w:rPr>
          <w:sz w:val="20"/>
        </w:rPr>
      </w:r>
    </w:p>
    <w:p>
      <w:pPr>
        <w:pStyle w:val="2"/>
        <w:outlineLvl w:val="3"/>
        <w:ind w:firstLine="540"/>
        <w:jc w:val="both"/>
      </w:pPr>
      <w:r>
        <w:rPr>
          <w:sz w:val="20"/>
        </w:rPr>
        <w:t xml:space="preserve">Статья 6.4. Предоставление отсрочки, рассрочки, инвестиционного налогового кредита</w:t>
      </w:r>
    </w:p>
    <w:p>
      <w:pPr>
        <w:pStyle w:val="0"/>
        <w:jc w:val="both"/>
      </w:pPr>
      <w:r>
        <w:rPr>
          <w:sz w:val="20"/>
        </w:rPr>
        <w:t xml:space="preserve">(в ред. </w:t>
      </w:r>
      <w:hyperlink w:history="0" r:id="rId363"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ind w:firstLine="540"/>
        <w:jc w:val="both"/>
      </w:pPr>
      <w:r>
        <w:rPr>
          <w:sz w:val="20"/>
        </w:rPr>
      </w:r>
    </w:p>
    <w:p>
      <w:pPr>
        <w:pStyle w:val="0"/>
        <w:ind w:firstLine="540"/>
        <w:jc w:val="both"/>
      </w:pPr>
      <w:r>
        <w:rPr>
          <w:sz w:val="20"/>
        </w:rPr>
        <w:t xml:space="preserve">1. Предоставление отсрочки, рассрочки, инвестиционного налогового кредита осуществляется в порядке, на условиях и по основаниям, предусмотренным </w:t>
      </w:r>
      <w:hyperlink w:history="0" r:id="rId364" w:tooltip="&quot;Налоговый кодекс Российской Федерации (часть первая)&quot; от 31.07.1998 N 146-ФЗ (ред. от 23.03.2024) {КонсультантПлюс}">
        <w:r>
          <w:rPr>
            <w:sz w:val="20"/>
            <w:color w:val="0000ff"/>
          </w:rPr>
          <w:t xml:space="preserve">главой 9</w:t>
        </w:r>
      </w:hyperlink>
      <w:r>
        <w:rPr>
          <w:sz w:val="20"/>
        </w:rPr>
        <w:t xml:space="preserve"> Налогового кодекса Российской Федерации и в соответствии с настоящей статьей.</w:t>
      </w:r>
    </w:p>
    <w:p>
      <w:pPr>
        <w:pStyle w:val="0"/>
        <w:jc w:val="both"/>
      </w:pPr>
      <w:r>
        <w:rPr>
          <w:sz w:val="20"/>
        </w:rPr>
        <w:t xml:space="preserve">(в ред. Законов Новосибирской области от 05.03.2013 </w:t>
      </w:r>
      <w:hyperlink w:history="0" r:id="rId365"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14.06.2023 </w:t>
      </w:r>
      <w:hyperlink w:history="0" r:id="rId366"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spacing w:before="200" w:line-rule="auto"/>
        <w:ind w:firstLine="540"/>
        <w:jc w:val="both"/>
      </w:pPr>
      <w:r>
        <w:rPr>
          <w:sz w:val="20"/>
        </w:rPr>
        <w:t xml:space="preserve">2. Дополнительным основанием предоставления инвесторам отсрочки или рассрочки является осуществление деятельности по реализации прошедшего конкурс инвестиционного проекта. При этом отсрочка или рассрочка предоставляется на срок от одного до шести месяцев в пределах календарного года и срока окупаемости инвестиционного проекта, но не более 7 лет. На сумму отсрочки или рассрочки начисляются проценты исходя из ставки, равной одной десятой ставки рефинансирования Центрального банка Российской Федерации, действующей на дату вынесения решения о предоставлении отсрочки или рассрочки.</w:t>
      </w:r>
    </w:p>
    <w:p>
      <w:pPr>
        <w:pStyle w:val="0"/>
        <w:jc w:val="both"/>
      </w:pPr>
      <w:r>
        <w:rPr>
          <w:sz w:val="20"/>
        </w:rPr>
        <w:t xml:space="preserve">(в ред. Законов Новосибирской области от 13.11.2010 </w:t>
      </w:r>
      <w:hyperlink w:history="0" r:id="rId367"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N 2-ОЗ</w:t>
        </w:r>
      </w:hyperlink>
      <w:r>
        <w:rPr>
          <w:sz w:val="20"/>
        </w:rPr>
        <w:t xml:space="preserve">, от 03.05.2012 </w:t>
      </w:r>
      <w:hyperlink w:history="0" r:id="rId368"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05.03.2013 </w:t>
      </w:r>
      <w:hyperlink w:history="0" r:id="rId369"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14.06.2023 </w:t>
      </w:r>
      <w:hyperlink w:history="0" r:id="rId370"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spacing w:before="200" w:line-rule="auto"/>
        <w:ind w:firstLine="540"/>
        <w:jc w:val="both"/>
      </w:pPr>
      <w:r>
        <w:rPr>
          <w:sz w:val="20"/>
        </w:rPr>
        <w:t xml:space="preserve">3. Иным основанием предоставления инвесторам инвестиционного налогового кредита по налогу на прибыль организаций, подлежащему зачислению в областной бюджет Новосибирской области, и по региональным налогам является осуществление деятельности по реализации прошедшего конкурс инвестиционного проекта. При этом инвестиционный налоговый кредит по налогу на прибыль организаций, подлежащему зачислению в областной бюджет Новосибирской области, и по региональным налогам предоставляется на срок окупаемости инвестиционного проекта, но не более 7 лет. На сумму кредита по всем основаниям, определенным законодательством Новосибирской области, начисляются проценты исходя из ставки, равной одной десятой ставки рефинансирования Центрального банка Российской Федерации, действующей на дату вынесения решения о предоставлении инвестиционного налогового кредита.</w:t>
      </w:r>
    </w:p>
    <w:p>
      <w:pPr>
        <w:pStyle w:val="0"/>
        <w:jc w:val="both"/>
      </w:pPr>
      <w:r>
        <w:rPr>
          <w:sz w:val="20"/>
        </w:rPr>
        <w:t xml:space="preserve">(в ред. Законов Новосибирской области от 05.03.2013 </w:t>
      </w:r>
      <w:hyperlink w:history="0" r:id="rId371"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10.11.2020 </w:t>
      </w:r>
      <w:hyperlink w:history="0" r:id="rId372" w:tooltip="Закон Новосибирской области от 10.11.2020 N 21-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11.2020 N 21-ЗС) {КонсультантПлюс}">
        <w:r>
          <w:rPr>
            <w:sz w:val="20"/>
            <w:color w:val="0000ff"/>
          </w:rPr>
          <w:t xml:space="preserve">N 21-ОЗ</w:t>
        </w:r>
      </w:hyperlink>
      <w:r>
        <w:rPr>
          <w:sz w:val="20"/>
        </w:rPr>
        <w:t xml:space="preserve">)</w:t>
      </w:r>
    </w:p>
    <w:p>
      <w:pPr>
        <w:pStyle w:val="0"/>
        <w:spacing w:before="200" w:line-rule="auto"/>
        <w:ind w:firstLine="540"/>
        <w:jc w:val="both"/>
      </w:pPr>
      <w:r>
        <w:rPr>
          <w:sz w:val="20"/>
        </w:rPr>
        <w:t xml:space="preserve">4. Исключен с 1 января 2011 года. - </w:t>
      </w:r>
      <w:hyperlink w:history="0" r:id="rId373"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Закон</w:t>
        </w:r>
      </w:hyperlink>
      <w:r>
        <w:rPr>
          <w:sz w:val="20"/>
        </w:rPr>
        <w:t xml:space="preserve"> Новосибирской области от 13.11.2010 N 2-ОЗ.</w:t>
      </w:r>
    </w:p>
    <w:p>
      <w:pPr>
        <w:pStyle w:val="0"/>
        <w:spacing w:before="200" w:line-rule="auto"/>
        <w:ind w:firstLine="540"/>
        <w:jc w:val="both"/>
      </w:pPr>
      <w:r>
        <w:rPr>
          <w:sz w:val="20"/>
        </w:rPr>
        <w:t xml:space="preserve">5. Решение о предоставлении отсрочки или рассрочки по налогу на прибыль организаций, подлежащему зачислению в областной бюджет Новосибирской области, и региональным налогам в части решений о переносе срока исполнения обязанностей по уплате указанных налогов в форме инвестиционного налогового кредита принимается областным исполнительным органом государственной власти Новосибирской области, уполномоченным в сфере инвестиционной деятельности, по согласованию с областным исполнительным органом государственной власти Новосибирской области, уполномоченным в сфере финансов.</w:t>
      </w:r>
    </w:p>
    <w:p>
      <w:pPr>
        <w:pStyle w:val="0"/>
        <w:jc w:val="both"/>
      </w:pPr>
      <w:r>
        <w:rPr>
          <w:sz w:val="20"/>
        </w:rPr>
        <w:t xml:space="preserve">(п. 5 введен </w:t>
      </w:r>
      <w:hyperlink w:history="0" r:id="rId374"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Законом</w:t>
        </w:r>
      </w:hyperlink>
      <w:r>
        <w:rPr>
          <w:sz w:val="20"/>
        </w:rPr>
        <w:t xml:space="preserve"> Новосибирской области от 05.03.2013 N 299-ОЗ; в ред. </w:t>
      </w:r>
      <w:hyperlink w:history="0" r:id="rId375"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ind w:firstLine="540"/>
        <w:jc w:val="both"/>
      </w:pPr>
      <w:r>
        <w:rPr>
          <w:sz w:val="20"/>
        </w:rPr>
      </w:r>
    </w:p>
    <w:p>
      <w:pPr>
        <w:pStyle w:val="2"/>
        <w:outlineLvl w:val="3"/>
        <w:ind w:firstLine="540"/>
        <w:jc w:val="both"/>
      </w:pPr>
      <w:r>
        <w:rPr>
          <w:sz w:val="20"/>
        </w:rPr>
        <w:t xml:space="preserve">Статья 6.5. Утратила силу с 1 января 2021 года. - </w:t>
      </w:r>
      <w:hyperlink w:history="0" r:id="rId376"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w:t>
        </w:r>
      </w:hyperlink>
      <w:r>
        <w:rPr>
          <w:sz w:val="20"/>
        </w:rPr>
        <w:t xml:space="preserve"> Новосибирской области от 10.11.2020 N 15-ОЗ.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Глава 6.1, введенная </w:t>
            </w:r>
            <w:hyperlink w:history="0" r:id="rId377"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Законом</w:t>
              </w:r>
            </w:hyperlink>
            <w:r>
              <w:rPr>
                <w:sz w:val="20"/>
                <w:color w:val="392c69"/>
              </w:rPr>
              <w:t xml:space="preserve"> Новосибирской области от 02.11.2018 N 296-ОЗ, </w:t>
            </w:r>
            <w:hyperlink w:history="0" r:id="rId378"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применяется</w:t>
              </w:r>
            </w:hyperlink>
            <w:r>
              <w:rPr>
                <w:sz w:val="20"/>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Глава 6.1. НАЛОГОВЫЕ ЛЬГОТЫ, ОСНОВАНИЯ, ПОРЯДОК</w:t>
      </w:r>
    </w:p>
    <w:p>
      <w:pPr>
        <w:pStyle w:val="2"/>
        <w:jc w:val="center"/>
      </w:pPr>
      <w:r>
        <w:rPr>
          <w:sz w:val="20"/>
        </w:rPr>
        <w:t xml:space="preserve">И УСЛОВИЯ ИХ ПРИМЕНЕНИЯ ИНВЕСТОРАМ - УЧАСТНИКАМ</w:t>
      </w:r>
    </w:p>
    <w:p>
      <w:pPr>
        <w:pStyle w:val="2"/>
        <w:jc w:val="center"/>
      </w:pPr>
      <w:r>
        <w:rPr>
          <w:sz w:val="20"/>
        </w:rPr>
        <w:t xml:space="preserve">РЕГИОНАЛЬНЫХ ИНВЕСТИЦИОННЫХ ПРОЕКТОВ</w:t>
      </w:r>
    </w:p>
    <w:p>
      <w:pPr>
        <w:pStyle w:val="0"/>
        <w:jc w:val="center"/>
      </w:pPr>
      <w:r>
        <w:rPr>
          <w:sz w:val="20"/>
        </w:rPr>
        <w:t xml:space="preserve">(введена </w:t>
      </w:r>
      <w:hyperlink w:history="0" r:id="rId379"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Законом</w:t>
        </w:r>
      </w:hyperlink>
      <w:r>
        <w:rPr>
          <w:sz w:val="20"/>
        </w:rPr>
        <w:t xml:space="preserve"> Новосибирской области</w:t>
      </w:r>
    </w:p>
    <w:p>
      <w:pPr>
        <w:pStyle w:val="0"/>
        <w:jc w:val="center"/>
      </w:pPr>
      <w:r>
        <w:rPr>
          <w:sz w:val="20"/>
        </w:rPr>
        <w:t xml:space="preserve">от 02.11.2018 N 296-ОЗ)</w:t>
      </w:r>
    </w:p>
    <w:p>
      <w:pPr>
        <w:pStyle w:val="0"/>
        <w:ind w:firstLine="540"/>
        <w:jc w:val="both"/>
      </w:pPr>
      <w:r>
        <w:rPr>
          <w:sz w:val="20"/>
        </w:rPr>
      </w:r>
    </w:p>
    <w:p>
      <w:pPr>
        <w:pStyle w:val="2"/>
        <w:outlineLvl w:val="3"/>
        <w:ind w:firstLine="540"/>
        <w:jc w:val="both"/>
      </w:pPr>
      <w:r>
        <w:rPr>
          <w:sz w:val="20"/>
        </w:rPr>
        <w:t xml:space="preserve">Статья 6.1.1. Общие положения</w:t>
      </w:r>
    </w:p>
    <w:p>
      <w:pPr>
        <w:pStyle w:val="0"/>
        <w:ind w:firstLine="540"/>
        <w:jc w:val="both"/>
      </w:pPr>
      <w:r>
        <w:rPr>
          <w:sz w:val="20"/>
        </w:rPr>
      </w:r>
    </w:p>
    <w:p>
      <w:pPr>
        <w:pStyle w:val="0"/>
        <w:ind w:firstLine="540"/>
        <w:jc w:val="both"/>
      </w:pPr>
      <w:r>
        <w:rPr>
          <w:sz w:val="20"/>
        </w:rPr>
        <w:t xml:space="preserve">Настоящей главой устанавливаются налоговые льготы по налогу на прибыль организаций, подлежащему зачислению в областной бюджет Новосибирской области, основания, порядок и условия их применения организациями - участниками региональных инвестиционных проектов.</w:t>
      </w:r>
    </w:p>
    <w:p>
      <w:pPr>
        <w:pStyle w:val="0"/>
        <w:ind w:firstLine="540"/>
        <w:jc w:val="both"/>
      </w:pPr>
      <w:r>
        <w:rPr>
          <w:sz w:val="20"/>
        </w:rPr>
      </w:r>
    </w:p>
    <w:p>
      <w:pPr>
        <w:pStyle w:val="2"/>
        <w:outlineLvl w:val="3"/>
        <w:ind w:firstLine="540"/>
        <w:jc w:val="both"/>
      </w:pPr>
      <w:r>
        <w:rPr>
          <w:sz w:val="20"/>
        </w:rPr>
        <w:t xml:space="preserve">Статья 6.1.2. Налоговые льготы, основания, порядок и условия их применения организациями - участниками региональных инвестиционных проектов</w:t>
      </w:r>
    </w:p>
    <w:p>
      <w:pPr>
        <w:pStyle w:val="0"/>
        <w:ind w:firstLine="540"/>
        <w:jc w:val="both"/>
      </w:pPr>
      <w:r>
        <w:rPr>
          <w:sz w:val="20"/>
        </w:rPr>
      </w:r>
    </w:p>
    <w:bookmarkStart w:id="816" w:name="P816"/>
    <w:bookmarkEnd w:id="816"/>
    <w:p>
      <w:pPr>
        <w:pStyle w:val="0"/>
        <w:ind w:firstLine="540"/>
        <w:jc w:val="both"/>
      </w:pPr>
      <w:r>
        <w:rPr>
          <w:sz w:val="20"/>
        </w:rPr>
        <w:t xml:space="preserve">1. Размер налоговой </w:t>
      </w:r>
      <w:hyperlink w:history="0" r:id="rId380"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ставки</w:t>
        </w:r>
      </w:hyperlink>
      <w:r>
        <w:rPr>
          <w:sz w:val="20"/>
        </w:rPr>
        <w:t xml:space="preserve"> по налогу на прибыль организаций для исчисления суммы налога в части, подлежащей уплате в областной бюджет Новосибирской области, для организаций - участников региональных инвестиционных проектов составляет 10%,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20%, и суммой налога, исчисленного с применением пониженных налоговых ставок налога, установленных настоящей статьей в соответствии с </w:t>
      </w:r>
      <w:hyperlink w:history="0" r:id="rId381"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подпунктом 2 пункта 3 статьи 284.3</w:t>
        </w:r>
      </w:hyperlink>
      <w:r>
        <w:rPr>
          <w:sz w:val="20"/>
        </w:rPr>
        <w:t xml:space="preserve"> и </w:t>
      </w:r>
      <w:hyperlink w:history="0" r:id="rId382"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пунктом 1.5 статьи 284</w:t>
        </w:r>
      </w:hyperlink>
      <w:r>
        <w:rPr>
          <w:sz w:val="20"/>
        </w:rPr>
        <w:t xml:space="preserve"> Налогового кодекса Российской Федерации,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history="0" r:id="rId383"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пунктом 8 статьи 284.3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Если разница между суммой налога, рассчитанной исходя из ставки налога в размере 20%, и суммой налога, исчисленного с применением пониженной налоговой ставки налога в размере 10%, определенная нарастающим итогом начиная с налогового периода, указанного в </w:t>
      </w:r>
      <w:hyperlink w:history="0" w:anchor="P816" w:tooltip="1. Размер налоговой ставки по налогу на прибыль организаций для исчисления суммы налога в части, подлежащей уплате в областной бюджет Новосибирской области, для организаций - участников региональных инвестиционных проектов составляет 10%,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
        <w:r>
          <w:rPr>
            <w:sz w:val="20"/>
            <w:color w:val="0000ff"/>
          </w:rPr>
          <w:t xml:space="preserve">абзаце первом пункта 1</w:t>
        </w:r>
      </w:hyperlink>
      <w:r>
        <w:rPr>
          <w:sz w:val="20"/>
        </w:rPr>
        <w:t xml:space="preserve"> настоящей статьи, превысит величину, равную объему осуществленных капитальных вложений, указанных в инвестиционной декларации, то последним налоговым периодом применения налоговой ставки, предусмотренной </w:t>
      </w:r>
      <w:hyperlink w:history="0" r:id="rId384"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пунктом 1.5 статьи 284</w:t>
        </w:r>
      </w:hyperlink>
      <w:r>
        <w:rPr>
          <w:sz w:val="20"/>
        </w:rPr>
        <w:t xml:space="preserve"> Налогового кодекса Российской Федерации, и пониженной налоговой ставки, установленной в абзаце первом пункта 1 настоящей статьи, будет являться налоговый период, в котором возникло это превышение. Сумма указанного превышения подлежит уплате в областной бюджет Новосибирской области по итогам налогового периода в общеустановленном порядке.</w:t>
      </w:r>
    </w:p>
    <w:p>
      <w:pPr>
        <w:pStyle w:val="0"/>
        <w:jc w:val="both"/>
      </w:pPr>
      <w:r>
        <w:rPr>
          <w:sz w:val="20"/>
        </w:rPr>
        <w:t xml:space="preserve">(абзац введен </w:t>
      </w:r>
      <w:hyperlink w:history="0" r:id="rId385" w:tooltip="Закон Новосибирской области от 02.11.2021 N 13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30-ЗС) {КонсультантПлюс}">
        <w:r>
          <w:rPr>
            <w:sz w:val="20"/>
            <w:color w:val="0000ff"/>
          </w:rPr>
          <w:t xml:space="preserve">Законом</w:t>
        </w:r>
      </w:hyperlink>
      <w:r>
        <w:rPr>
          <w:sz w:val="20"/>
        </w:rPr>
        <w:t xml:space="preserve"> Новосибирской области от 02.11.2021 N 130-ОЗ)</w:t>
      </w:r>
    </w:p>
    <w:p>
      <w:pPr>
        <w:pStyle w:val="0"/>
        <w:spacing w:before="200" w:line-rule="auto"/>
        <w:ind w:firstLine="540"/>
        <w:jc w:val="both"/>
      </w:pPr>
      <w:r>
        <w:rPr>
          <w:sz w:val="20"/>
        </w:rPr>
        <w:t xml:space="preserve">2. Налоговые льготы, установленные </w:t>
      </w:r>
      <w:hyperlink w:history="0" w:anchor="P816" w:tooltip="1. Размер налоговой ставки по налогу на прибыль организаций для исчисления суммы налога в части, подлежащей уплате в областной бюджет Новосибирской области, для организаций - участников региональных инвестиционных проектов составляет 10%,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
        <w:r>
          <w:rPr>
            <w:sz w:val="20"/>
            <w:color w:val="0000ff"/>
          </w:rPr>
          <w:t xml:space="preserve">пунктом 1</w:t>
        </w:r>
      </w:hyperlink>
      <w:r>
        <w:rPr>
          <w:sz w:val="20"/>
        </w:rPr>
        <w:t xml:space="preserve"> настоящей статьи, предоставляются организациям - участникам региональных инвестиционных проектов, соответствующим требованиям, определенным </w:t>
      </w:r>
      <w:hyperlink w:history="0" r:id="rId386" w:tooltip="&quot;Налоговый кодекс Российской Федерации (часть первая)&quot; от 31.07.1998 N 146-ФЗ (ред. от 23.03.2024) {КонсультантПлюс}">
        <w:r>
          <w:rPr>
            <w:sz w:val="20"/>
            <w:color w:val="0000ff"/>
          </w:rPr>
          <w:t xml:space="preserve">подпунктом 1 пункта 1 статьи 25.9</w:t>
        </w:r>
      </w:hyperlink>
      <w:r>
        <w:rPr>
          <w:sz w:val="20"/>
        </w:rPr>
        <w:t xml:space="preserve"> Налогового кодекса Российской Федерации, включенным в реестр участников региональных инвестиционных проектов (далее - реестр), осуществляющим на территории Новосибирской области региональные инвестиционные проекты, которые одновременно удовлетворяют требованиям, установленным </w:t>
      </w:r>
      <w:hyperlink w:history="0" r:id="rId387" w:tooltip="&quot;Налоговый кодекс Российской Федерации (часть первая)&quot; от 31.07.1998 N 146-ФЗ (ред. от 23.03.2024) {КонсультантПлюс}">
        <w:r>
          <w:rPr>
            <w:sz w:val="20"/>
            <w:color w:val="0000ff"/>
          </w:rPr>
          <w:t xml:space="preserve">подпунктами 1.1</w:t>
        </w:r>
      </w:hyperlink>
      <w:r>
        <w:rPr>
          <w:sz w:val="20"/>
        </w:rPr>
        <w:t xml:space="preserve">, </w:t>
      </w:r>
      <w:hyperlink w:history="0" r:id="rId388" w:tooltip="&quot;Налоговый кодекс Российской Федерации (часть первая)&quot; от 31.07.1998 N 146-ФЗ (ред. от 23.03.2024) {КонсультантПлюс}">
        <w:r>
          <w:rPr>
            <w:sz w:val="20"/>
            <w:color w:val="0000ff"/>
          </w:rPr>
          <w:t xml:space="preserve">2</w:t>
        </w:r>
      </w:hyperlink>
      <w:r>
        <w:rPr>
          <w:sz w:val="20"/>
        </w:rPr>
        <w:t xml:space="preserve">, </w:t>
      </w:r>
      <w:hyperlink w:history="0" r:id="rId389" w:tooltip="&quot;Налоговый кодекс Российской Федерации (часть первая)&quot; от 31.07.1998 N 146-ФЗ (ред. от 23.03.2024) {КонсультантПлюс}">
        <w:r>
          <w:rPr>
            <w:sz w:val="20"/>
            <w:color w:val="0000ff"/>
          </w:rPr>
          <w:t xml:space="preserve">4</w:t>
        </w:r>
      </w:hyperlink>
      <w:r>
        <w:rPr>
          <w:sz w:val="20"/>
        </w:rPr>
        <w:t xml:space="preserve">, </w:t>
      </w:r>
      <w:hyperlink w:history="0" r:id="rId390" w:tooltip="&quot;Налоговый кодекс Российской Федерации (часть первая)&quot; от 31.07.1998 N 146-ФЗ (ред. от 23.03.2024) {КонсультантПлюс}">
        <w:r>
          <w:rPr>
            <w:sz w:val="20"/>
            <w:color w:val="0000ff"/>
          </w:rPr>
          <w:t xml:space="preserve">5 пункта 1 статьи 25.8</w:t>
        </w:r>
      </w:hyperlink>
      <w:r>
        <w:rPr>
          <w:sz w:val="20"/>
        </w:rPr>
        <w:t xml:space="preserve"> Налогового кодекса Российской Федерации.</w:t>
      </w:r>
    </w:p>
    <w:bookmarkStart w:id="820" w:name="P820"/>
    <w:bookmarkEnd w:id="820"/>
    <w:p>
      <w:pPr>
        <w:pStyle w:val="0"/>
        <w:spacing w:before="200" w:line-rule="auto"/>
        <w:ind w:firstLine="540"/>
        <w:jc w:val="both"/>
      </w:pPr>
      <w:r>
        <w:rPr>
          <w:sz w:val="20"/>
        </w:rPr>
        <w:t xml:space="preserve">3. Для включения в реестр организация направляет в областной исполнительный орган государственной власти Новосибирской области, уполномоченный в сфере инвестиционной деятельности, составленное в произвольной форме заявление о включении в реестр с приложением документов, предусмотренных </w:t>
      </w:r>
      <w:hyperlink w:history="0" r:id="rId391" w:tooltip="&quot;Налоговый кодекс Российской Федерации (часть первая)&quot; от 31.07.1998 N 146-ФЗ (ред. от 23.03.2024) {КонсультантПлюс}">
        <w:r>
          <w:rPr>
            <w:sz w:val="20"/>
            <w:color w:val="0000ff"/>
          </w:rPr>
          <w:t xml:space="preserve">пунктом 1 статьи 25.11</w:t>
        </w:r>
      </w:hyperlink>
      <w:r>
        <w:rPr>
          <w:sz w:val="20"/>
        </w:rPr>
        <w:t xml:space="preserve"> Налогового кодекса Российской Федерации, а также бизнес-плана, включающего плановые финансово-экономические показатели инвестиционного проекта, составленного в соответствии с требованиями, определенными Правительством Новосибирской области.</w:t>
      </w:r>
    </w:p>
    <w:p>
      <w:pPr>
        <w:pStyle w:val="0"/>
        <w:spacing w:before="200" w:line-rule="auto"/>
        <w:ind w:firstLine="540"/>
        <w:jc w:val="both"/>
      </w:pPr>
      <w:r>
        <w:rPr>
          <w:sz w:val="20"/>
        </w:rPr>
        <w:t xml:space="preserve">4. Областной исполнительный орган государственной власти Новосибирской области, уполномоченный в сфере инвестиционной деятельности, по итогам рассмотрения документов, указанных в </w:t>
      </w:r>
      <w:hyperlink w:history="0" w:anchor="P820" w:tooltip="3. Для включения в реестр организация направляет в областной исполнительный орган государственной власти Новосибирской области, уполномоченный в сфере инвестиционной деятельности, составленное в произвольной форме заявление о включении в реестр с приложением документов, предусмотренных пунктом 1 статьи 25.11 Налогового кодекса Российской Федерации, а также бизнес-плана, включающего плановые финансово-экономические показатели инвестиционного проекта, составленного в соответствии с требованиями, определенн...">
        <w:r>
          <w:rPr>
            <w:sz w:val="20"/>
            <w:color w:val="0000ff"/>
          </w:rPr>
          <w:t xml:space="preserve">пункте 3</w:t>
        </w:r>
      </w:hyperlink>
      <w:r>
        <w:rPr>
          <w:sz w:val="20"/>
        </w:rPr>
        <w:t xml:space="preserve"> настоящей статьи, в срок, определенный в </w:t>
      </w:r>
      <w:hyperlink w:history="0" r:id="rId392" w:tooltip="&quot;Налоговый кодекс Российской Федерации (часть первая)&quot; от 31.07.1998 N 146-ФЗ (ред. от 23.03.2024) {КонсультантПлюс}">
        <w:r>
          <w:rPr>
            <w:sz w:val="20"/>
            <w:color w:val="0000ff"/>
          </w:rPr>
          <w:t xml:space="preserve">пункте 6 статьи 25.11</w:t>
        </w:r>
      </w:hyperlink>
      <w:r>
        <w:rPr>
          <w:sz w:val="20"/>
        </w:rPr>
        <w:t xml:space="preserve"> Налогового кодекса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w:t>
      </w:r>
    </w:p>
    <w:p>
      <w:pPr>
        <w:pStyle w:val="0"/>
        <w:spacing w:before="200" w:line-rule="auto"/>
        <w:ind w:firstLine="540"/>
        <w:jc w:val="both"/>
      </w:pPr>
      <w:r>
        <w:rPr>
          <w:sz w:val="20"/>
        </w:rPr>
        <w:t xml:space="preserve">5. Решение о внесении изменений в реестр, не связанных с прекращением статуса участника регионального инвестиционного проекта, принимается областным исполнительным органом государственной власти Новосибирской области, уполномоченным в сфере инвестиционной деятельности, в случае внесения в инвестиционную декларацию изменений, касающихся условий реализации регионального инвестиционного проекта,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при условии соблюдения требований, предъявляемых к региональным инвестиционным проектам и (или) участникам региональных инвестиционных проектов.</w:t>
      </w:r>
    </w:p>
    <w:p>
      <w:pPr>
        <w:pStyle w:val="0"/>
        <w:ind w:firstLine="540"/>
        <w:jc w:val="both"/>
      </w:pPr>
      <w:r>
        <w:rPr>
          <w:sz w:val="20"/>
        </w:rPr>
      </w:r>
    </w:p>
    <w:p>
      <w:pPr>
        <w:pStyle w:val="2"/>
        <w:outlineLvl w:val="3"/>
        <w:ind w:firstLine="540"/>
        <w:jc w:val="both"/>
      </w:pPr>
      <w:r>
        <w:rPr>
          <w:sz w:val="20"/>
        </w:rPr>
        <w:t xml:space="preserve">Статья 6.1.3. Утратила силу с 1 января 2021 года. - </w:t>
      </w:r>
      <w:hyperlink w:history="0" r:id="rId393"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w:t>
        </w:r>
      </w:hyperlink>
      <w:r>
        <w:rPr>
          <w:sz w:val="20"/>
        </w:rPr>
        <w:t xml:space="preserve"> Новосибирской области от 10.11.2020 N 15-ОЗ.</w:t>
      </w:r>
    </w:p>
    <w:p>
      <w:pPr>
        <w:pStyle w:val="0"/>
        <w:ind w:firstLine="540"/>
        <w:jc w:val="both"/>
      </w:pPr>
      <w:r>
        <w:rPr>
          <w:sz w:val="20"/>
        </w:rPr>
      </w:r>
    </w:p>
    <w:p>
      <w:pPr>
        <w:pStyle w:val="2"/>
        <w:outlineLvl w:val="2"/>
        <w:jc w:val="center"/>
      </w:pPr>
      <w:r>
        <w:rPr>
          <w:sz w:val="20"/>
        </w:rPr>
        <w:t xml:space="preserve">Глава 7. НАЛОГОВЫЕ ЛЬГОТЫ, ОСНОВАНИЯ,</w:t>
      </w:r>
    </w:p>
    <w:p>
      <w:pPr>
        <w:pStyle w:val="2"/>
        <w:jc w:val="center"/>
      </w:pPr>
      <w:r>
        <w:rPr>
          <w:sz w:val="20"/>
        </w:rPr>
        <w:t xml:space="preserve">ПОРЯДОК И УСЛОВИЯ ИХ ПРИМЕНЕНИЯ, ИЗМЕНЕНИЕ</w:t>
      </w:r>
    </w:p>
    <w:p>
      <w:pPr>
        <w:pStyle w:val="2"/>
        <w:jc w:val="center"/>
      </w:pPr>
      <w:r>
        <w:rPr>
          <w:sz w:val="20"/>
        </w:rPr>
        <w:t xml:space="preserve">СРОКОВ УПЛАТЫ НАЛОГОВ ТОВАРОПРОИЗВОДИТЕЛЯМ</w:t>
      </w:r>
    </w:p>
    <w:p>
      <w:pPr>
        <w:pStyle w:val="0"/>
        <w:ind w:firstLine="540"/>
        <w:jc w:val="both"/>
      </w:pPr>
      <w:r>
        <w:rPr>
          <w:sz w:val="20"/>
        </w:rPr>
      </w:r>
    </w:p>
    <w:p>
      <w:pPr>
        <w:pStyle w:val="0"/>
        <w:ind w:firstLine="540"/>
        <w:jc w:val="both"/>
      </w:pPr>
      <w:r>
        <w:rPr>
          <w:sz w:val="20"/>
        </w:rPr>
        <w:t xml:space="preserve">Утратила силу с 1 января 2017 года. - </w:t>
      </w:r>
      <w:hyperlink w:history="0" r:id="rId394"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Закон</w:t>
        </w:r>
      </w:hyperlink>
      <w:r>
        <w:rPr>
          <w:sz w:val="20"/>
        </w:rPr>
        <w:t xml:space="preserve"> Новосибирской области от 01.12.2016 N 100-ОЗ.</w:t>
      </w:r>
    </w:p>
    <w:p>
      <w:pPr>
        <w:pStyle w:val="0"/>
        <w:ind w:firstLine="540"/>
        <w:jc w:val="both"/>
      </w:pPr>
      <w:r>
        <w:rPr>
          <w:sz w:val="20"/>
        </w:rPr>
      </w:r>
    </w:p>
    <w:p>
      <w:pPr>
        <w:pStyle w:val="2"/>
        <w:outlineLvl w:val="2"/>
        <w:jc w:val="center"/>
      </w:pPr>
      <w:r>
        <w:rPr>
          <w:sz w:val="20"/>
        </w:rPr>
        <w:t xml:space="preserve">Глава 7.1. НАЛОГОВЫЕ ЛЬГОТЫ, ОСНОВАНИЯ, ПОРЯДОК И УСЛОВИЯ</w:t>
      </w:r>
    </w:p>
    <w:p>
      <w:pPr>
        <w:pStyle w:val="2"/>
        <w:jc w:val="center"/>
      </w:pPr>
      <w:r>
        <w:rPr>
          <w:sz w:val="20"/>
        </w:rPr>
        <w:t xml:space="preserve">ИХ ПРИМЕНЕНИЯ СУБЪЕКТАМ ДЕЯТЕЛЬНОСТИ В СФЕРЕ ПРОМЫШЛЕННОСТИ</w:t>
      </w:r>
    </w:p>
    <w:p>
      <w:pPr>
        <w:pStyle w:val="0"/>
        <w:jc w:val="center"/>
      </w:pPr>
      <w:r>
        <w:rPr>
          <w:sz w:val="20"/>
        </w:rPr>
        <w:t xml:space="preserve">(введена </w:t>
      </w:r>
      <w:hyperlink w:history="0" r:id="rId395"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Законом</w:t>
        </w:r>
      </w:hyperlink>
      <w:r>
        <w:rPr>
          <w:sz w:val="20"/>
        </w:rPr>
        <w:t xml:space="preserve"> Новосибирской области</w:t>
      </w:r>
    </w:p>
    <w:p>
      <w:pPr>
        <w:pStyle w:val="0"/>
        <w:jc w:val="center"/>
      </w:pPr>
      <w:r>
        <w:rPr>
          <w:sz w:val="20"/>
        </w:rPr>
        <w:t xml:space="preserve">от 01.12.2016 N 100-ОЗ)</w:t>
      </w:r>
    </w:p>
    <w:p>
      <w:pPr>
        <w:pStyle w:val="0"/>
        <w:ind w:firstLine="540"/>
        <w:jc w:val="both"/>
      </w:pPr>
      <w:r>
        <w:rPr>
          <w:sz w:val="20"/>
        </w:rPr>
      </w:r>
    </w:p>
    <w:bookmarkStart w:id="837" w:name="P837"/>
    <w:bookmarkEnd w:id="837"/>
    <w:p>
      <w:pPr>
        <w:pStyle w:val="2"/>
        <w:outlineLvl w:val="3"/>
        <w:ind w:firstLine="540"/>
        <w:jc w:val="both"/>
      </w:pPr>
      <w:r>
        <w:rPr>
          <w:sz w:val="20"/>
        </w:rPr>
        <w:t xml:space="preserve">Статья 7.1.1. Общие положения</w:t>
      </w:r>
    </w:p>
    <w:p>
      <w:pPr>
        <w:pStyle w:val="0"/>
        <w:ind w:firstLine="540"/>
        <w:jc w:val="both"/>
      </w:pPr>
      <w:r>
        <w:rPr>
          <w:sz w:val="20"/>
        </w:rPr>
      </w:r>
    </w:p>
    <w:p>
      <w:pPr>
        <w:pStyle w:val="0"/>
        <w:ind w:firstLine="540"/>
        <w:jc w:val="both"/>
      </w:pPr>
      <w:r>
        <w:rPr>
          <w:sz w:val="20"/>
        </w:rPr>
        <w:t xml:space="preserve">Настоящей главой устанавливаются налоговые льготы по налогу на имущество организаций, налогу на прибыль организаций, подлежащим зачислению в областной бюджет Новосибирской области, основания, порядок и условия их применения субъектам деятельности в сфере промышленности, зарегистрированным в Новосибирской области и осуществляющим деятельность, относящуюся к виду экономической деятельности "обрабатывающие производства" Общероссийского </w:t>
      </w:r>
      <w:hyperlink w:history="0" r:id="rId396"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ОК 029-2014 (КДЕС Ред. 2) (далее - промышленные предприятия).</w:t>
      </w:r>
    </w:p>
    <w:p>
      <w:pPr>
        <w:pStyle w:val="0"/>
        <w:jc w:val="both"/>
      </w:pPr>
      <w:r>
        <w:rPr>
          <w:sz w:val="20"/>
        </w:rPr>
        <w:t xml:space="preserve">(в ред. </w:t>
      </w:r>
      <w:hyperlink w:history="0" r:id="rId397"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Закона</w:t>
        </w:r>
      </w:hyperlink>
      <w:r>
        <w:rPr>
          <w:sz w:val="20"/>
        </w:rPr>
        <w:t xml:space="preserve"> Новосибирской области от 30.11.2017 N 233-ОЗ)</w:t>
      </w:r>
    </w:p>
    <w:p>
      <w:pPr>
        <w:pStyle w:val="0"/>
        <w:ind w:firstLine="540"/>
        <w:jc w:val="both"/>
      </w:pPr>
      <w:r>
        <w:rPr>
          <w:sz w:val="20"/>
        </w:rPr>
      </w:r>
    </w:p>
    <w:p>
      <w:pPr>
        <w:pStyle w:val="2"/>
        <w:outlineLvl w:val="3"/>
        <w:ind w:firstLine="540"/>
        <w:jc w:val="both"/>
      </w:pPr>
      <w:r>
        <w:rPr>
          <w:sz w:val="20"/>
        </w:rPr>
        <w:t xml:space="preserve">Статья 7.1.2. Налоговые льготы, основания, порядок и условия их применения</w:t>
      </w:r>
    </w:p>
    <w:p>
      <w:pPr>
        <w:pStyle w:val="0"/>
        <w:ind w:firstLine="540"/>
        <w:jc w:val="both"/>
      </w:pPr>
      <w:r>
        <w:rPr>
          <w:sz w:val="20"/>
        </w:rPr>
      </w:r>
    </w:p>
    <w:bookmarkStart w:id="844" w:name="P844"/>
    <w:bookmarkEnd w:id="844"/>
    <w:p>
      <w:pPr>
        <w:pStyle w:val="0"/>
        <w:ind w:firstLine="540"/>
        <w:jc w:val="both"/>
      </w:pPr>
      <w:r>
        <w:rPr>
          <w:sz w:val="20"/>
        </w:rPr>
        <w:t xml:space="preserve">1. Промышленным предприятиям устанавливаются налоговые </w:t>
      </w:r>
      <w:hyperlink w:history="0" r:id="rId398"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ставки</w:t>
        </w:r>
      </w:hyperlink>
      <w:r>
        <w:rPr>
          <w:sz w:val="20"/>
        </w:rPr>
        <w:t xml:space="preserve"> по налогу на прибыль организаций в следующих размерах:</w:t>
      </w:r>
    </w:p>
    <w:p>
      <w:pPr>
        <w:pStyle w:val="0"/>
        <w:spacing w:before="200" w:line-rule="auto"/>
        <w:ind w:firstLine="540"/>
        <w:jc w:val="both"/>
      </w:pPr>
      <w:r>
        <w:rPr>
          <w:sz w:val="20"/>
        </w:rPr>
        <w:t xml:space="preserve">13,5% - для промышленных предприятий, участвующих в реализации проектов, включенных в сводный реестр проектов </w:t>
      </w:r>
      <w:hyperlink w:history="0" r:id="rId399" w:tooltip="Постановление Правительства Новосибирской области от 01.04.2016 N 89-п (ред. от 11.07.2017) &quot;Об утверждении программы реиндустриализации экономики Новосибирской области до 2025 года&quot; {КонсультантПлюс}">
        <w:r>
          <w:rPr>
            <w:sz w:val="20"/>
            <w:color w:val="0000ff"/>
          </w:rPr>
          <w:t xml:space="preserve">программы</w:t>
        </w:r>
      </w:hyperlink>
      <w:r>
        <w:rPr>
          <w:sz w:val="20"/>
        </w:rPr>
        <w:t xml:space="preserve"> реиндустриализации экономики Новосибирской области до 2025 года, утвержденной постановлением Правительства Новосибирской области от 1 апреля 2016 года N 89-п, - на период реализации проекта;</w:t>
      </w:r>
    </w:p>
    <w:p>
      <w:pPr>
        <w:pStyle w:val="0"/>
        <w:jc w:val="both"/>
      </w:pPr>
      <w:r>
        <w:rPr>
          <w:sz w:val="20"/>
        </w:rPr>
        <w:t xml:space="preserve">(в ред. </w:t>
      </w:r>
      <w:hyperlink w:history="0" r:id="rId400"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Закона</w:t>
        </w:r>
      </w:hyperlink>
      <w:r>
        <w:rPr>
          <w:sz w:val="20"/>
        </w:rPr>
        <w:t xml:space="preserve"> Новосибирской области от 30.11.2017 N 233-ОЗ)</w:t>
      </w:r>
    </w:p>
    <w:p>
      <w:pPr>
        <w:pStyle w:val="0"/>
        <w:spacing w:before="200" w:line-rule="auto"/>
        <w:ind w:firstLine="540"/>
        <w:jc w:val="both"/>
      </w:pPr>
      <w:r>
        <w:rPr>
          <w:sz w:val="20"/>
        </w:rPr>
        <w:t xml:space="preserve">14,5% - для промышленных предприятий, обеспечивших превышение налоговой базы отчетного (налогового) периода не менее чем в 1,3 раза по отношению к налоговой базе аналогичного периода предыдущего года, если выручка от вида деятельности, указанного в </w:t>
      </w:r>
      <w:hyperlink w:history="0" w:anchor="P837" w:tooltip="Статья 7.1.1. Общие положения">
        <w:r>
          <w:rPr>
            <w:sz w:val="20"/>
            <w:color w:val="0000ff"/>
          </w:rPr>
          <w:t xml:space="preserve">статье 7.1.1</w:t>
        </w:r>
      </w:hyperlink>
      <w:r>
        <w:rPr>
          <w:sz w:val="20"/>
        </w:rPr>
        <w:t xml:space="preserve"> настоящего Закона, составляет не менее 70 процентов от общей суммы выручки от реализации произведенной продукции (работ, услуг).</w:t>
      </w:r>
    </w:p>
    <w:p>
      <w:pPr>
        <w:pStyle w:val="0"/>
        <w:spacing w:before="200" w:line-rule="auto"/>
        <w:ind w:firstLine="540"/>
        <w:jc w:val="both"/>
      </w:pPr>
      <w:r>
        <w:rPr>
          <w:sz w:val="20"/>
        </w:rPr>
        <w:t xml:space="preserve">Налоговая ставка, установленная настоящим пунктом, применяется до 1 января 2025 года.</w:t>
      </w:r>
    </w:p>
    <w:p>
      <w:pPr>
        <w:pStyle w:val="0"/>
        <w:jc w:val="both"/>
      </w:pPr>
      <w:r>
        <w:rPr>
          <w:sz w:val="20"/>
        </w:rPr>
        <w:t xml:space="preserve">(абзац введен </w:t>
      </w:r>
      <w:hyperlink w:history="0" r:id="rId401"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Законом</w:t>
        </w:r>
      </w:hyperlink>
      <w:r>
        <w:rPr>
          <w:sz w:val="20"/>
        </w:rPr>
        <w:t xml:space="preserve"> Новосибирской области от 02.11.2018 N 296-ОЗ; в ред. </w:t>
      </w:r>
      <w:hyperlink w:history="0" r:id="rId402"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Закона</w:t>
        </w:r>
      </w:hyperlink>
      <w:r>
        <w:rPr>
          <w:sz w:val="20"/>
        </w:rPr>
        <w:t xml:space="preserve"> Новосибирской области от 21.12.2022 N 308-ОЗ)</w:t>
      </w:r>
    </w:p>
    <w:p>
      <w:pPr>
        <w:pStyle w:val="0"/>
        <w:spacing w:before="200" w:line-rule="auto"/>
        <w:ind w:firstLine="540"/>
        <w:jc w:val="both"/>
      </w:pPr>
      <w:r>
        <w:rPr>
          <w:sz w:val="20"/>
        </w:rPr>
        <w:t xml:space="preserve">2. Льгота по налогу на имущество организаций предоставляется по итогам налогового периода в виде уменьшения суммы налога на величину, которая соответствует сумме налога от прироста налоговой базы за налоговый период по отношению к налоговой базе предыдущего налогового периода.</w:t>
      </w:r>
    </w:p>
    <w:p>
      <w:pPr>
        <w:pStyle w:val="0"/>
        <w:jc w:val="both"/>
      </w:pPr>
      <w:r>
        <w:rPr>
          <w:sz w:val="20"/>
        </w:rPr>
        <w:t xml:space="preserve">(п. 2 в ред. </w:t>
      </w:r>
      <w:hyperlink w:history="0" r:id="rId403"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3. Применение налоговых льгот осуществляется при:</w:t>
      </w:r>
    </w:p>
    <w:p>
      <w:pPr>
        <w:pStyle w:val="0"/>
        <w:spacing w:before="200" w:line-rule="auto"/>
        <w:ind w:firstLine="540"/>
        <w:jc w:val="both"/>
      </w:pPr>
      <w:r>
        <w:rPr>
          <w:sz w:val="20"/>
        </w:rPr>
        <w:t xml:space="preserve">1) обеспечении прироста выручки нарастающим итогом с начала года не менее 10%. При определении прироста выручки сравнивается выручка, отражаемая в отчете о финансовых результатах за I квартал текущего года, с выручкой, отражаемой в отчете о финансовых результатах за I квартал предыдущего года, аналогично сравнивается выручка за полугодие, 9 месяцев и год;</w:t>
      </w:r>
    </w:p>
    <w:p>
      <w:pPr>
        <w:pStyle w:val="0"/>
        <w:spacing w:before="200" w:line-rule="auto"/>
        <w:ind w:firstLine="540"/>
        <w:jc w:val="both"/>
      </w:pPr>
      <w:r>
        <w:rPr>
          <w:sz w:val="20"/>
        </w:rPr>
        <w:t xml:space="preserve">2) отсутствии недоимки по:</w:t>
      </w:r>
    </w:p>
    <w:p>
      <w:pPr>
        <w:pStyle w:val="0"/>
        <w:spacing w:before="200" w:line-rule="auto"/>
        <w:ind w:firstLine="540"/>
        <w:jc w:val="both"/>
      </w:pPr>
      <w:r>
        <w:rPr>
          <w:sz w:val="20"/>
        </w:rPr>
        <w:t xml:space="preserve">налогам, подлежащим перечислению в бюджеты бюджетной системы Российской Федерации, за исключением отсроченной, рассроченной, в том числе в порядке реструктуризации, приостановленной к взысканию;</w:t>
      </w:r>
    </w:p>
    <w:p>
      <w:pPr>
        <w:pStyle w:val="0"/>
        <w:spacing w:before="200" w:line-rule="auto"/>
        <w:ind w:firstLine="540"/>
        <w:jc w:val="both"/>
      </w:pPr>
      <w:r>
        <w:rPr>
          <w:sz w:val="20"/>
        </w:rPr>
        <w:t xml:space="preserve">страховым взносам в Фонд пенсионного и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pPr>
        <w:pStyle w:val="0"/>
        <w:jc w:val="both"/>
      </w:pPr>
      <w:r>
        <w:rPr>
          <w:sz w:val="20"/>
        </w:rPr>
        <w:t xml:space="preserve">(в ред. </w:t>
      </w:r>
      <w:hyperlink w:history="0" r:id="rId404"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Закона</w:t>
        </w:r>
      </w:hyperlink>
      <w:r>
        <w:rPr>
          <w:sz w:val="20"/>
        </w:rPr>
        <w:t xml:space="preserve"> Новосибирской области от 02.11.2022 N 259-ОЗ)</w:t>
      </w:r>
    </w:p>
    <w:p>
      <w:pPr>
        <w:pStyle w:val="0"/>
        <w:spacing w:before="200" w:line-rule="auto"/>
        <w:ind w:firstLine="540"/>
        <w:jc w:val="both"/>
      </w:pPr>
      <w:r>
        <w:rPr>
          <w:sz w:val="20"/>
        </w:rPr>
        <w:t xml:space="preserve">3) обеспечении уровня рентабельности реализованной продукции, определяемого как отношение прибыли от продаж к себестоимости продаж за отчетный (налоговый) период, не ниже 5%;</w:t>
      </w:r>
    </w:p>
    <w:p>
      <w:pPr>
        <w:pStyle w:val="0"/>
        <w:jc w:val="both"/>
      </w:pPr>
      <w:r>
        <w:rPr>
          <w:sz w:val="20"/>
        </w:rPr>
        <w:t xml:space="preserve">(в ред. </w:t>
      </w:r>
      <w:hyperlink w:history="0" r:id="rId405"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4) предоставлении в областной исполнительный орган государственной власти Новосибирской области, уполномоченный в сфере промышленной политики в Новосибирской области, при применении налоговой льготы по налогу на прибыль организаций - ежеквартально до 12 числа второго месяца, следующего за отчетным периодом (1 квартал, полугодие, 9 месяцев отчетного года), и до 12 апреля по итогам года; при применении налоговой льготы по налогу на имущество организаций - до 12 апреля года, следующего за окончанием налогового периода, следующих документов:</w:t>
      </w:r>
    </w:p>
    <w:p>
      <w:pPr>
        <w:pStyle w:val="0"/>
        <w:jc w:val="both"/>
      </w:pPr>
      <w:r>
        <w:rPr>
          <w:sz w:val="20"/>
        </w:rPr>
        <w:t xml:space="preserve">(в ред. </w:t>
      </w:r>
      <w:hyperlink w:history="0" r:id="rId406"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отчета о финансовых результатах за отчетный (налоговый) период;</w:t>
      </w:r>
    </w:p>
    <w:p>
      <w:pPr>
        <w:pStyle w:val="0"/>
        <w:jc w:val="both"/>
      </w:pPr>
      <w:r>
        <w:rPr>
          <w:sz w:val="20"/>
        </w:rPr>
        <w:t xml:space="preserve">(в ред. </w:t>
      </w:r>
      <w:hyperlink w:history="0" r:id="rId407"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Дата формирования справки должна быть не ранее последнего календарного дня последнего отчетного (налогового) периода;</w:t>
      </w:r>
    </w:p>
    <w:p>
      <w:pPr>
        <w:pStyle w:val="0"/>
        <w:jc w:val="both"/>
      </w:pPr>
      <w:r>
        <w:rPr>
          <w:sz w:val="20"/>
        </w:rPr>
        <w:t xml:space="preserve">(в ред. </w:t>
      </w:r>
      <w:hyperlink w:history="0" r:id="rId408"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сведений о промышленном предприятии (наименование организации, район, почтовый адрес, телефоны руководителя и главного бухгалтера) в случае первого получения налоговых льгот в отчетном году;</w:t>
      </w:r>
    </w:p>
    <w:p>
      <w:pPr>
        <w:pStyle w:val="0"/>
        <w:spacing w:before="200" w:line-rule="auto"/>
        <w:ind w:firstLine="540"/>
        <w:jc w:val="both"/>
      </w:pPr>
      <w:r>
        <w:rPr>
          <w:sz w:val="20"/>
        </w:rPr>
        <w:t xml:space="preserve">налоговых деклараций за отчетный (налоговый) период, в которых заявлены налоговые льготы, с отметкой налоговых органов, а также налоговых деклараций за аналогичный период предыдущего года с отметкой налоговых органов;</w:t>
      </w:r>
    </w:p>
    <w:p>
      <w:pPr>
        <w:pStyle w:val="0"/>
        <w:jc w:val="both"/>
      </w:pPr>
      <w:r>
        <w:rPr>
          <w:sz w:val="20"/>
        </w:rPr>
        <w:t xml:space="preserve">(в ред. </w:t>
      </w:r>
      <w:hyperlink w:history="0" r:id="rId409"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Закона</w:t>
        </w:r>
      </w:hyperlink>
      <w:r>
        <w:rPr>
          <w:sz w:val="20"/>
        </w:rPr>
        <w:t xml:space="preserve"> Новосибирской области от 30.11.2017 N 233-ОЗ)</w:t>
      </w:r>
    </w:p>
    <w:p>
      <w:pPr>
        <w:pStyle w:val="0"/>
        <w:spacing w:before="200" w:line-rule="auto"/>
        <w:ind w:firstLine="540"/>
        <w:jc w:val="both"/>
      </w:pPr>
      <w:r>
        <w:rPr>
          <w:sz w:val="20"/>
        </w:rPr>
        <w:t xml:space="preserve">сведений о выручке от реализации произведенной продукции (работ, услуг) по виду экономической деятельности, указанному в </w:t>
      </w:r>
      <w:hyperlink w:history="0" w:anchor="P837" w:tooltip="Статья 7.1.1. Общие положения">
        <w:r>
          <w:rPr>
            <w:sz w:val="20"/>
            <w:color w:val="0000ff"/>
          </w:rPr>
          <w:t xml:space="preserve">статье 7.1.1</w:t>
        </w:r>
      </w:hyperlink>
      <w:r>
        <w:rPr>
          <w:sz w:val="20"/>
        </w:rPr>
        <w:t xml:space="preserve"> настоящего Закона, за отчетный (налоговый) период, обосновывающих применение налоговой ставки по налогу на прибыль организаций в размере 14,5%;</w:t>
      </w:r>
    </w:p>
    <w:p>
      <w:pPr>
        <w:pStyle w:val="0"/>
        <w:jc w:val="both"/>
      </w:pPr>
      <w:r>
        <w:rPr>
          <w:sz w:val="20"/>
        </w:rPr>
        <w:t xml:space="preserve">(в ред. Законов Новосибирской области от 30.11.2017 </w:t>
      </w:r>
      <w:hyperlink w:history="0" r:id="rId410"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N 233-ОЗ</w:t>
        </w:r>
      </w:hyperlink>
      <w:r>
        <w:rPr>
          <w:sz w:val="20"/>
        </w:rPr>
        <w:t xml:space="preserve">, от 04.10.2023 </w:t>
      </w:r>
      <w:hyperlink w:history="0" r:id="rId411"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N 364-ОЗ</w:t>
        </w:r>
      </w:hyperlink>
      <w:r>
        <w:rPr>
          <w:sz w:val="20"/>
        </w:rPr>
        <w:t xml:space="preserve">)</w:t>
      </w:r>
    </w:p>
    <w:p>
      <w:pPr>
        <w:pStyle w:val="0"/>
        <w:spacing w:before="200" w:line-rule="auto"/>
        <w:ind w:firstLine="540"/>
        <w:jc w:val="both"/>
      </w:pPr>
      <w:r>
        <w:rPr>
          <w:sz w:val="20"/>
        </w:rPr>
        <w:t xml:space="preserve">абзац утратил силу с 1 января 2018 года. - </w:t>
      </w:r>
      <w:hyperlink w:history="0" r:id="rId412"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Закон</w:t>
        </w:r>
      </w:hyperlink>
      <w:r>
        <w:rPr>
          <w:sz w:val="20"/>
        </w:rPr>
        <w:t xml:space="preserve"> Новосибирской области от 30.11.2017 N 233-ОЗ;</w:t>
      </w:r>
    </w:p>
    <w:p>
      <w:pPr>
        <w:pStyle w:val="0"/>
        <w:spacing w:before="200" w:line-rule="auto"/>
        <w:ind w:firstLine="540"/>
        <w:jc w:val="both"/>
      </w:pPr>
      <w:r>
        <w:rPr>
          <w:sz w:val="20"/>
        </w:rPr>
        <w:t xml:space="preserve">пояснительной записки о ходе реализации проекта в случае реализации проекта, включенного в сводный реестр проектов </w:t>
      </w:r>
      <w:hyperlink w:history="0" r:id="rId413" w:tooltip="Постановление Правительства Новосибирской области от 01.04.2016 N 89-п (ред. от 11.07.2017) &quot;Об утверждении программы реиндустриализации экономики Новосибирской области до 2025 года&quot; {КонсультантПлюс}">
        <w:r>
          <w:rPr>
            <w:sz w:val="20"/>
            <w:color w:val="0000ff"/>
          </w:rPr>
          <w:t xml:space="preserve">программы</w:t>
        </w:r>
      </w:hyperlink>
      <w:r>
        <w:rPr>
          <w:sz w:val="20"/>
        </w:rPr>
        <w:t xml:space="preserve"> реиндустриализации экономики Новосибирской области до 2025 года, утвержденной постановлением Правительства Новосибирской области от 1 апреля 2016 года N 89-п.</w:t>
      </w:r>
    </w:p>
    <w:p>
      <w:pPr>
        <w:pStyle w:val="0"/>
        <w:jc w:val="both"/>
      </w:pPr>
      <w:r>
        <w:rPr>
          <w:sz w:val="20"/>
        </w:rPr>
        <w:t xml:space="preserve">(в ред. </w:t>
      </w:r>
      <w:hyperlink w:history="0" r:id="rId414" w:tooltip="Закон Новосибирской области от 30.11.2017 N 233-ОЗ &quot;О внесении изменений в статьи 7.1.1 и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1.2017 N 233-ЗС) {КонсультантПлюс}">
        <w:r>
          <w:rPr>
            <w:sz w:val="20"/>
            <w:color w:val="0000ff"/>
          </w:rPr>
          <w:t xml:space="preserve">Закона</w:t>
        </w:r>
      </w:hyperlink>
      <w:r>
        <w:rPr>
          <w:sz w:val="20"/>
        </w:rPr>
        <w:t xml:space="preserve"> Новосибирской области от 30.11.2017 N 233-ОЗ)</w:t>
      </w:r>
    </w:p>
    <w:p>
      <w:pPr>
        <w:pStyle w:val="0"/>
        <w:spacing w:before="200" w:line-rule="auto"/>
        <w:ind w:firstLine="540"/>
        <w:jc w:val="both"/>
      </w:pPr>
      <w:r>
        <w:rPr>
          <w:sz w:val="20"/>
        </w:rPr>
        <w:t xml:space="preserve">4. Право применения налоговых льгот возникает у промышленного предприятия не ранее чем со второго календарного года его деятельности.</w:t>
      </w:r>
    </w:p>
    <w:p>
      <w:pPr>
        <w:pStyle w:val="0"/>
        <w:spacing w:before="200" w:line-rule="auto"/>
        <w:ind w:firstLine="540"/>
        <w:jc w:val="both"/>
      </w:pPr>
      <w:r>
        <w:rPr>
          <w:sz w:val="20"/>
        </w:rPr>
        <w:t xml:space="preserve">5. Областной исполнительный орган государственной власти Новосибирской области, уполномоченный в сфере промышленной политики в Новосибирской области, передает данные о налогоплательщиках, соответствующих основаниям и условиям для применения налоговых льгот, установленным настоящей главой, в Управление Федеральной налоговой службы по Новосибирской области до 20 числа второго месяца, следующего за отчетным периодом (1 квартал, полугодие, 9 месяцев отчетного года), по итогам года - до 20 апреля следующего года.</w:t>
      </w:r>
    </w:p>
    <w:p>
      <w:pPr>
        <w:pStyle w:val="0"/>
        <w:jc w:val="both"/>
      </w:pPr>
      <w:r>
        <w:rPr>
          <w:sz w:val="20"/>
        </w:rPr>
        <w:t xml:space="preserve">(в ред. </w:t>
      </w:r>
      <w:hyperlink w:history="0" r:id="rId415" w:tooltip="Закон Новосибирской области от 04.10.2023 N 364-ОЗ &quot;О внесении изменений в статью 7.1.2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9.2023 N 364-ЗС) {КонсультантПлюс}">
        <w:r>
          <w:rPr>
            <w:sz w:val="20"/>
            <w:color w:val="0000ff"/>
          </w:rPr>
          <w:t xml:space="preserve">Закона</w:t>
        </w:r>
      </w:hyperlink>
      <w:r>
        <w:rPr>
          <w:sz w:val="20"/>
        </w:rPr>
        <w:t xml:space="preserve"> Новосибирской области от 04.10.2023 N 364-ОЗ)</w:t>
      </w:r>
    </w:p>
    <w:p>
      <w:pPr>
        <w:pStyle w:val="0"/>
        <w:spacing w:before="200" w:line-rule="auto"/>
        <w:ind w:firstLine="540"/>
        <w:jc w:val="both"/>
      </w:pPr>
      <w:r>
        <w:rPr>
          <w:sz w:val="20"/>
        </w:rPr>
        <w:t xml:space="preserve">6. Промышленные предприятия, не представившие в областной исполнительный орган государственной власти Новосибирской области, уполномоченный в сфере промышленной политики в Новосибирской области, информацию, предусмотренную настоящей статьей, либо представившие искаженную информацию, право на получение налоговых льгот не имеют.</w:t>
      </w:r>
    </w:p>
    <w:p>
      <w:pPr>
        <w:pStyle w:val="0"/>
        <w:ind w:firstLine="540"/>
        <w:jc w:val="both"/>
      </w:pPr>
      <w:r>
        <w:rPr>
          <w:sz w:val="20"/>
        </w:rPr>
      </w:r>
    </w:p>
    <w:p>
      <w:pPr>
        <w:pStyle w:val="2"/>
        <w:outlineLvl w:val="3"/>
        <w:ind w:firstLine="540"/>
        <w:jc w:val="both"/>
      </w:pPr>
      <w:r>
        <w:rPr>
          <w:sz w:val="20"/>
        </w:rPr>
        <w:t xml:space="preserve">Статья 7.1.3. Утратила силу с 1 января 2021 года. - </w:t>
      </w:r>
      <w:hyperlink w:history="0" r:id="rId416"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w:t>
        </w:r>
      </w:hyperlink>
      <w:r>
        <w:rPr>
          <w:sz w:val="20"/>
        </w:rPr>
        <w:t xml:space="preserve"> Новосибирской области от 10.11.2020 N 15-ОЗ.</w:t>
      </w:r>
    </w:p>
    <w:p>
      <w:pPr>
        <w:pStyle w:val="0"/>
        <w:ind w:firstLine="540"/>
        <w:jc w:val="both"/>
      </w:pPr>
      <w:r>
        <w:rPr>
          <w:sz w:val="20"/>
        </w:rPr>
      </w:r>
    </w:p>
    <w:p>
      <w:pPr>
        <w:pStyle w:val="2"/>
        <w:outlineLvl w:val="2"/>
        <w:jc w:val="center"/>
      </w:pPr>
      <w:r>
        <w:rPr>
          <w:sz w:val="20"/>
        </w:rPr>
        <w:t xml:space="preserve">Глава 8. НАЛОГОВЫЕ ЛЬГОТЫ И ПРЕДОСТАВЛЕНИЕ ОТСРОЧКИ,</w:t>
      </w:r>
    </w:p>
    <w:p>
      <w:pPr>
        <w:pStyle w:val="2"/>
        <w:jc w:val="center"/>
      </w:pPr>
      <w:r>
        <w:rPr>
          <w:sz w:val="20"/>
        </w:rPr>
        <w:t xml:space="preserve">РАССРОЧКИ, ИНВЕСТИЦИОННОГО НАЛОГОВОГО КРЕДИТА</w:t>
      </w:r>
    </w:p>
    <w:p>
      <w:pPr>
        <w:pStyle w:val="2"/>
        <w:jc w:val="center"/>
      </w:pPr>
      <w:r>
        <w:rPr>
          <w:sz w:val="20"/>
        </w:rPr>
        <w:t xml:space="preserve">ИНЫМ КАТЕГОРИЯМ НАЛОГОПЛАТЕЛЬЩИКОВ</w:t>
      </w:r>
    </w:p>
    <w:p>
      <w:pPr>
        <w:pStyle w:val="0"/>
        <w:jc w:val="center"/>
      </w:pPr>
      <w:r>
        <w:rPr>
          <w:sz w:val="20"/>
        </w:rPr>
        <w:t xml:space="preserve">(в ред. Законов Новосибирской области</w:t>
      </w:r>
    </w:p>
    <w:p>
      <w:pPr>
        <w:pStyle w:val="0"/>
        <w:jc w:val="center"/>
      </w:pPr>
      <w:r>
        <w:rPr>
          <w:sz w:val="20"/>
        </w:rPr>
        <w:t xml:space="preserve">от 05.03.2013 </w:t>
      </w:r>
      <w:hyperlink w:history="0" r:id="rId417"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14.06.2023 </w:t>
      </w:r>
      <w:hyperlink w:history="0" r:id="rId418"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pPr>
      <w:r>
        <w:rPr>
          <w:sz w:val="20"/>
        </w:rPr>
      </w:r>
    </w:p>
    <w:p>
      <w:pPr>
        <w:pStyle w:val="2"/>
        <w:outlineLvl w:val="3"/>
        <w:ind w:firstLine="540"/>
        <w:jc w:val="both"/>
      </w:pPr>
      <w:r>
        <w:rPr>
          <w:sz w:val="20"/>
        </w:rPr>
        <w:t xml:space="preserve">Статья 8.1. Общие положения</w:t>
      </w:r>
    </w:p>
    <w:p>
      <w:pPr>
        <w:pStyle w:val="0"/>
        <w:ind w:firstLine="540"/>
        <w:jc w:val="both"/>
      </w:pPr>
      <w:r>
        <w:rPr>
          <w:sz w:val="20"/>
        </w:rPr>
        <w:t xml:space="preserve">(в ред. </w:t>
      </w:r>
      <w:hyperlink w:history="0" r:id="rId419"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Закона</w:t>
        </w:r>
      </w:hyperlink>
      <w:r>
        <w:rPr>
          <w:sz w:val="20"/>
        </w:rPr>
        <w:t xml:space="preserve"> Новосибирской области от 25.11.2004 N 235-ОЗ)</w:t>
      </w:r>
    </w:p>
    <w:p>
      <w:pPr>
        <w:pStyle w:val="0"/>
        <w:ind w:firstLine="540"/>
        <w:jc w:val="both"/>
      </w:pPr>
      <w:r>
        <w:rPr>
          <w:sz w:val="20"/>
        </w:rPr>
      </w:r>
    </w:p>
    <w:p>
      <w:pPr>
        <w:pStyle w:val="0"/>
        <w:ind w:firstLine="540"/>
        <w:jc w:val="both"/>
      </w:pPr>
      <w:r>
        <w:rPr>
          <w:sz w:val="20"/>
        </w:rPr>
        <w:t xml:space="preserve">Настоящей главой устанавливаются налоговые льготы по налогу на прибыль организаций, подлежащему зачислению в областной бюджет Новосибирской области, налогу на имущество организаций, основания, порядок и условия их применения, а также иные условия предоставления отсрочки, рассрочки, инвестиционного налогового кредита иным категориям налогоплательщиков.</w:t>
      </w:r>
    </w:p>
    <w:p>
      <w:pPr>
        <w:pStyle w:val="0"/>
        <w:jc w:val="both"/>
      </w:pPr>
      <w:r>
        <w:rPr>
          <w:sz w:val="20"/>
        </w:rPr>
        <w:t xml:space="preserve">(в ред. Законов Новосибирской области от 03.05.2012 </w:t>
      </w:r>
      <w:hyperlink w:history="0" r:id="rId420"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05.03.2013 </w:t>
      </w:r>
      <w:hyperlink w:history="0" r:id="rId421"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N 299-ОЗ</w:t>
        </w:r>
      </w:hyperlink>
      <w:r>
        <w:rPr>
          <w:sz w:val="20"/>
        </w:rPr>
        <w:t xml:space="preserve">, от 14.06.2023 </w:t>
      </w:r>
      <w:hyperlink w:history="0" r:id="rId422"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N 337-ОЗ</w:t>
        </w:r>
      </w:hyperlink>
      <w:r>
        <w:rPr>
          <w:sz w:val="20"/>
        </w:rPr>
        <w:t xml:space="preserve">)</w:t>
      </w:r>
    </w:p>
    <w:p>
      <w:pPr>
        <w:pStyle w:val="0"/>
      </w:pPr>
      <w:r>
        <w:rPr>
          <w:sz w:val="20"/>
        </w:rPr>
      </w:r>
    </w:p>
    <w:p>
      <w:pPr>
        <w:pStyle w:val="2"/>
        <w:outlineLvl w:val="3"/>
        <w:ind w:firstLine="540"/>
        <w:jc w:val="both"/>
      </w:pPr>
      <w:r>
        <w:rPr>
          <w:sz w:val="20"/>
        </w:rPr>
        <w:t xml:space="preserve">Статья 8.2. Исключена с 1 января 2005 года. - </w:t>
      </w:r>
      <w:hyperlink w:history="0" r:id="rId423"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w:t>
        </w:r>
      </w:hyperlink>
      <w:r>
        <w:rPr>
          <w:sz w:val="20"/>
        </w:rPr>
        <w:t xml:space="preserve"> Новосибирской области от 25.11.2004 N 235-ОЗ.</w:t>
      </w:r>
    </w:p>
    <w:p>
      <w:pPr>
        <w:pStyle w:val="0"/>
      </w:pPr>
      <w:r>
        <w:rPr>
          <w:sz w:val="20"/>
        </w:rPr>
      </w:r>
    </w:p>
    <w:p>
      <w:pPr>
        <w:pStyle w:val="2"/>
        <w:outlineLvl w:val="3"/>
        <w:ind w:firstLine="540"/>
        <w:jc w:val="both"/>
      </w:pPr>
      <w:r>
        <w:rPr>
          <w:sz w:val="20"/>
        </w:rPr>
        <w:t xml:space="preserve">Статья 8.3. Утратила силу. - </w:t>
      </w:r>
      <w:hyperlink w:history="0" r:id="rId424"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Закон</w:t>
        </w:r>
      </w:hyperlink>
      <w:r>
        <w:rPr>
          <w:sz w:val="20"/>
        </w:rPr>
        <w:t xml:space="preserve"> Новосибирской области от 05.03.2013 N 299-ОЗ.</w:t>
      </w:r>
    </w:p>
    <w:p>
      <w:pPr>
        <w:pStyle w:val="0"/>
      </w:pPr>
      <w:r>
        <w:rPr>
          <w:sz w:val="20"/>
        </w:rPr>
      </w:r>
    </w:p>
    <w:p>
      <w:pPr>
        <w:pStyle w:val="2"/>
        <w:outlineLvl w:val="3"/>
        <w:ind w:firstLine="540"/>
        <w:jc w:val="both"/>
      </w:pPr>
      <w:r>
        <w:rPr>
          <w:sz w:val="20"/>
        </w:rPr>
        <w:t xml:space="preserve">Статья 8.4. Исключена с 1 января 2005 года. - </w:t>
      </w:r>
      <w:hyperlink w:history="0" r:id="rId425"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w:t>
        </w:r>
      </w:hyperlink>
      <w:r>
        <w:rPr>
          <w:sz w:val="20"/>
        </w:rPr>
        <w:t xml:space="preserve"> Новосибирской области от 25.11.2004 N 235-ОЗ.</w:t>
      </w:r>
    </w:p>
    <w:p>
      <w:pPr>
        <w:pStyle w:val="0"/>
      </w:pPr>
      <w:r>
        <w:rPr>
          <w:sz w:val="20"/>
        </w:rPr>
      </w:r>
    </w:p>
    <w:p>
      <w:pPr>
        <w:pStyle w:val="2"/>
        <w:outlineLvl w:val="3"/>
        <w:ind w:firstLine="540"/>
        <w:jc w:val="both"/>
      </w:pPr>
      <w:r>
        <w:rPr>
          <w:sz w:val="20"/>
        </w:rPr>
        <w:t xml:space="preserve">Статья 8.5. Налоговые льготы по налогу на прибыль организаций учреждениям здравоохранения, образования, культуры, физической культуры, социальной защиты и поддержки населения</w:t>
      </w:r>
    </w:p>
    <w:p>
      <w:pPr>
        <w:pStyle w:val="0"/>
        <w:jc w:val="both"/>
      </w:pPr>
      <w:r>
        <w:rPr>
          <w:sz w:val="20"/>
        </w:rPr>
        <w:t xml:space="preserve">(в ред. Законов Новосибирской области от 25.11.2004 </w:t>
      </w:r>
      <w:hyperlink w:history="0" r:id="rId426"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N 235-ОЗ</w:t>
        </w:r>
      </w:hyperlink>
      <w:r>
        <w:rPr>
          <w:sz w:val="20"/>
        </w:rPr>
        <w:t xml:space="preserve">, от 31.05.2016 </w:t>
      </w:r>
      <w:hyperlink w:history="0" r:id="rId427" w:tooltip="Закон Новосибирской области от 31.05.2016 N 6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5.2016 N 67-ЗС) {КонсультантПлюс}">
        <w:r>
          <w:rPr>
            <w:sz w:val="20"/>
            <w:color w:val="0000ff"/>
          </w:rPr>
          <w:t xml:space="preserve">N 67-ОЗ</w:t>
        </w:r>
      </w:hyperlink>
      <w:r>
        <w:rPr>
          <w:sz w:val="20"/>
        </w:rPr>
        <w:t xml:space="preserve">)</w:t>
      </w:r>
    </w:p>
    <w:p>
      <w:pPr>
        <w:pStyle w:val="0"/>
      </w:pPr>
      <w:r>
        <w:rPr>
          <w:sz w:val="20"/>
        </w:rPr>
      </w:r>
    </w:p>
    <w:p>
      <w:pPr>
        <w:pStyle w:val="0"/>
        <w:ind w:firstLine="540"/>
        <w:jc w:val="both"/>
      </w:pPr>
      <w:r>
        <w:rPr>
          <w:sz w:val="20"/>
        </w:rPr>
        <w:t xml:space="preserve">1. Учреждениям здравоохранения, образования, культуры, физической культуры, социальной защиты и поддержки населения, имеющим доходы от предпринимательской деятельности, устанавливается </w:t>
      </w:r>
      <w:hyperlink w:history="0" r:id="rId428"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на прибыль организации, подлежащему зачислению в областной бюджет Новосибирской области, в размере 13,5%.</w:t>
      </w:r>
    </w:p>
    <w:p>
      <w:pPr>
        <w:pStyle w:val="0"/>
        <w:jc w:val="both"/>
      </w:pPr>
      <w:r>
        <w:rPr>
          <w:sz w:val="20"/>
        </w:rPr>
        <w:t xml:space="preserve">(в ред. Законов Новосибирской области от 25.11.2004 </w:t>
      </w:r>
      <w:hyperlink w:history="0" r:id="rId429"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N 235-ОЗ</w:t>
        </w:r>
      </w:hyperlink>
      <w:r>
        <w:rPr>
          <w:sz w:val="20"/>
        </w:rPr>
        <w:t xml:space="preserve">, от 03.05.2012 </w:t>
      </w:r>
      <w:hyperlink w:history="0" r:id="rId430" w:tooltip="Закон Новосибирской области от 03.05.2012 N 204-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4.2012 N 204-ЗС) {КонсультантПлюс}">
        <w:r>
          <w:rPr>
            <w:sz w:val="20"/>
            <w:color w:val="0000ff"/>
          </w:rPr>
          <w:t xml:space="preserve">N 204-ОЗ</w:t>
        </w:r>
      </w:hyperlink>
      <w:r>
        <w:rPr>
          <w:sz w:val="20"/>
        </w:rPr>
        <w:t xml:space="preserve">, от 31.05.2016 </w:t>
      </w:r>
      <w:hyperlink w:history="0" r:id="rId431" w:tooltip="Закон Новосибирской области от 31.05.2016 N 6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5.2016 N 67-ЗС) {КонсультантПлюс}">
        <w:r>
          <w:rPr>
            <w:sz w:val="20"/>
            <w:color w:val="0000ff"/>
          </w:rPr>
          <w:t xml:space="preserve">N 67-ОЗ</w:t>
        </w:r>
      </w:hyperlink>
      <w:r>
        <w:rPr>
          <w:sz w:val="20"/>
        </w:rPr>
        <w:t xml:space="preserve">)</w:t>
      </w:r>
    </w:p>
    <w:p>
      <w:pPr>
        <w:pStyle w:val="0"/>
        <w:spacing w:before="200" w:line-rule="auto"/>
        <w:ind w:firstLine="540"/>
        <w:jc w:val="both"/>
      </w:pPr>
      <w:r>
        <w:rPr>
          <w:sz w:val="20"/>
        </w:rPr>
        <w:t xml:space="preserve">Налоговая ставка, установленная настоящим пунктом, применяется до 1 января 2025 года.</w:t>
      </w:r>
    </w:p>
    <w:p>
      <w:pPr>
        <w:pStyle w:val="0"/>
        <w:jc w:val="both"/>
      </w:pPr>
      <w:r>
        <w:rPr>
          <w:sz w:val="20"/>
        </w:rPr>
        <w:t xml:space="preserve">(абзац введен </w:t>
      </w:r>
      <w:hyperlink w:history="0" r:id="rId432" w:tooltip="Закон Новосибирской области от 02.11.2018 N 29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8 N 296-ЗС) {КонсультантПлюс}">
        <w:r>
          <w:rPr>
            <w:sz w:val="20"/>
            <w:color w:val="0000ff"/>
          </w:rPr>
          <w:t xml:space="preserve">Законом</w:t>
        </w:r>
      </w:hyperlink>
      <w:r>
        <w:rPr>
          <w:sz w:val="20"/>
        </w:rPr>
        <w:t xml:space="preserve"> Новосибирской области от 02.11.2018 N 296-ОЗ; в ред. </w:t>
      </w:r>
      <w:hyperlink w:history="0" r:id="rId433"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Закона</w:t>
        </w:r>
      </w:hyperlink>
      <w:r>
        <w:rPr>
          <w:sz w:val="20"/>
        </w:rPr>
        <w:t xml:space="preserve"> Новосибирской области от 21.12.2022 N 308-ОЗ)</w:t>
      </w:r>
    </w:p>
    <w:p>
      <w:pPr>
        <w:pStyle w:val="0"/>
        <w:spacing w:before="200" w:line-rule="auto"/>
        <w:ind w:firstLine="540"/>
        <w:jc w:val="both"/>
      </w:pPr>
      <w:r>
        <w:rPr>
          <w:sz w:val="20"/>
        </w:rPr>
        <w:t xml:space="preserve">2. Утратила силу с 1 января 2017 года. - </w:t>
      </w:r>
      <w:hyperlink w:history="0" r:id="rId434" w:tooltip="Закон Новосибирской области от 31.05.2016 N 6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5.2016 N 67-ЗС) {КонсультантПлюс}">
        <w:r>
          <w:rPr>
            <w:sz w:val="20"/>
            <w:color w:val="0000ff"/>
          </w:rPr>
          <w:t xml:space="preserve">Закон</w:t>
        </w:r>
      </w:hyperlink>
      <w:r>
        <w:rPr>
          <w:sz w:val="20"/>
        </w:rPr>
        <w:t xml:space="preserve"> Новосибирской области от 31.05.2016 N 67-ОЗ.</w:t>
      </w:r>
    </w:p>
    <w:p>
      <w:pPr>
        <w:pStyle w:val="0"/>
      </w:pPr>
      <w:r>
        <w:rPr>
          <w:sz w:val="20"/>
        </w:rPr>
      </w:r>
    </w:p>
    <w:p>
      <w:pPr>
        <w:pStyle w:val="2"/>
        <w:outlineLvl w:val="3"/>
        <w:ind w:firstLine="540"/>
        <w:jc w:val="both"/>
      </w:pPr>
      <w:r>
        <w:rPr>
          <w:sz w:val="20"/>
        </w:rPr>
        <w:t xml:space="preserve">Статья 8.6. Утратила силу с 1 января 2008 года. - </w:t>
      </w:r>
      <w:hyperlink w:history="0" r:id="rId435" w:tooltip="Закон Новосибирской области от 02.11.2007 N 163-ОЗ &quot;О внесении изменения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6.10.2007 N 163-ОСД) {КонсультантПлюс}">
        <w:r>
          <w:rPr>
            <w:sz w:val="20"/>
            <w:color w:val="0000ff"/>
          </w:rPr>
          <w:t xml:space="preserve">Закон</w:t>
        </w:r>
      </w:hyperlink>
      <w:r>
        <w:rPr>
          <w:sz w:val="20"/>
        </w:rPr>
        <w:t xml:space="preserve"> Новосибирской области от 02.11.2007 N 163-ОЗ.</w:t>
      </w:r>
    </w:p>
    <w:p>
      <w:pPr>
        <w:pStyle w:val="0"/>
      </w:pPr>
      <w:r>
        <w:rPr>
          <w:sz w:val="20"/>
        </w:rPr>
      </w:r>
    </w:p>
    <w:p>
      <w:pPr>
        <w:pStyle w:val="2"/>
        <w:outlineLvl w:val="3"/>
        <w:ind w:firstLine="540"/>
        <w:jc w:val="both"/>
      </w:pPr>
      <w:r>
        <w:rPr>
          <w:sz w:val="20"/>
        </w:rPr>
        <w:t xml:space="preserve">Статья 8.7. Утратила силу с 1 января 2019 года. - </w:t>
      </w:r>
      <w:hyperlink w:history="0" r:id="rId436" w:tooltip="Закон Новосибирской области от 30.11.2018 N 30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2.11.2018 N 305-ЗС) {КонсультантПлюс}">
        <w:r>
          <w:rPr>
            <w:sz w:val="20"/>
            <w:color w:val="0000ff"/>
          </w:rPr>
          <w:t xml:space="preserve">Закон</w:t>
        </w:r>
      </w:hyperlink>
      <w:r>
        <w:rPr>
          <w:sz w:val="20"/>
        </w:rPr>
        <w:t xml:space="preserve"> Новосибирской области от 30.11.2018 N 305-ОЗ.</w:t>
      </w:r>
    </w:p>
    <w:p>
      <w:pPr>
        <w:pStyle w:val="0"/>
        <w:ind w:firstLine="540"/>
        <w:jc w:val="both"/>
      </w:pPr>
      <w:r>
        <w:rPr>
          <w:sz w:val="20"/>
        </w:rPr>
      </w:r>
    </w:p>
    <w:p>
      <w:pPr>
        <w:pStyle w:val="2"/>
        <w:outlineLvl w:val="3"/>
        <w:ind w:firstLine="540"/>
        <w:jc w:val="both"/>
      </w:pPr>
      <w:r>
        <w:rPr>
          <w:sz w:val="20"/>
        </w:rPr>
        <w:t xml:space="preserve">Статьи 8.8 - 8.10. Исключены с 1 января 2005 года. - </w:t>
      </w:r>
      <w:hyperlink w:history="0" r:id="rId437" w:tooltip="Закон Новосибирской области от 25.11.2004 N 23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4.11.2004 N 235-ОСД) {КонсультантПлюс}">
        <w:r>
          <w:rPr>
            <w:sz w:val="20"/>
            <w:color w:val="0000ff"/>
          </w:rPr>
          <w:t xml:space="preserve">Закон</w:t>
        </w:r>
      </w:hyperlink>
      <w:r>
        <w:rPr>
          <w:sz w:val="20"/>
        </w:rPr>
        <w:t xml:space="preserve"> Новосибирской области от 25.11.2004 N 235-ОЗ.</w:t>
      </w:r>
    </w:p>
    <w:p>
      <w:pPr>
        <w:pStyle w:val="0"/>
        <w:ind w:firstLine="540"/>
        <w:jc w:val="both"/>
      </w:pPr>
      <w:r>
        <w:rPr>
          <w:sz w:val="20"/>
        </w:rPr>
      </w:r>
    </w:p>
    <w:p>
      <w:pPr>
        <w:pStyle w:val="2"/>
        <w:outlineLvl w:val="3"/>
        <w:ind w:firstLine="540"/>
        <w:jc w:val="both"/>
      </w:pPr>
      <w:r>
        <w:rPr>
          <w:sz w:val="20"/>
        </w:rPr>
        <w:t xml:space="preserve">Статья 8.11. Налоговые льготы по налогу на имущество организаций</w:t>
      </w:r>
    </w:p>
    <w:p>
      <w:pPr>
        <w:pStyle w:val="0"/>
        <w:jc w:val="both"/>
      </w:pPr>
      <w:r>
        <w:rPr>
          <w:sz w:val="20"/>
        </w:rPr>
        <w:t xml:space="preserve">(в ред. </w:t>
      </w:r>
      <w:hyperlink w:history="0" r:id="rId438"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Закона</w:t>
        </w:r>
      </w:hyperlink>
      <w:r>
        <w:rPr>
          <w:sz w:val="20"/>
        </w:rPr>
        <w:t xml:space="preserve"> Новосибирской области от 31.10.2014 N 475-ОЗ)</w:t>
      </w:r>
    </w:p>
    <w:p>
      <w:pPr>
        <w:pStyle w:val="0"/>
        <w:ind w:firstLine="540"/>
        <w:jc w:val="both"/>
      </w:pPr>
      <w:r>
        <w:rPr>
          <w:sz w:val="20"/>
        </w:rPr>
        <w:t xml:space="preserve">(введена </w:t>
      </w:r>
      <w:hyperlink w:history="0" r:id="rId439" w:tooltip="Закон Новосибирской области от 12.04.2004 N 17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5.03.2004 N 176-ОСД) {КонсультантПлюс}">
        <w:r>
          <w:rPr>
            <w:sz w:val="20"/>
            <w:color w:val="0000ff"/>
          </w:rPr>
          <w:t xml:space="preserve">Законом</w:t>
        </w:r>
      </w:hyperlink>
      <w:r>
        <w:rPr>
          <w:sz w:val="20"/>
        </w:rPr>
        <w:t xml:space="preserve"> Новосибирской области от 12.04.2004 N 176-ОЗ)</w:t>
      </w:r>
    </w:p>
    <w:p>
      <w:pPr>
        <w:pStyle w:val="0"/>
        <w:ind w:firstLine="540"/>
        <w:jc w:val="both"/>
      </w:pPr>
      <w:r>
        <w:rPr>
          <w:sz w:val="20"/>
        </w:rPr>
      </w:r>
    </w:p>
    <w:p>
      <w:pPr>
        <w:pStyle w:val="0"/>
        <w:ind w:firstLine="540"/>
        <w:jc w:val="both"/>
      </w:pPr>
      <w:r>
        <w:rPr>
          <w:sz w:val="20"/>
        </w:rPr>
        <w:t xml:space="preserve">От уплаты налога на имущество организаций освобождаются:</w:t>
      </w:r>
    </w:p>
    <w:p>
      <w:pPr>
        <w:pStyle w:val="0"/>
        <w:spacing w:before="200" w:line-rule="auto"/>
        <w:ind w:firstLine="540"/>
        <w:jc w:val="both"/>
      </w:pPr>
      <w:r>
        <w:rPr>
          <w:sz w:val="20"/>
        </w:rPr>
        <w:t xml:space="preserve">1) садоводческие или огороднические некоммерческие товарищества - в отношении имущества, используемого ими для осуществления уставной деятельности, за исключением имущества, сдаваемого в аренду;</w:t>
      </w:r>
    </w:p>
    <w:p>
      <w:pPr>
        <w:pStyle w:val="0"/>
        <w:jc w:val="both"/>
      </w:pPr>
      <w:r>
        <w:rPr>
          <w:sz w:val="20"/>
        </w:rPr>
        <w:t xml:space="preserve">(п. 1 в ред. </w:t>
      </w:r>
      <w:hyperlink w:history="0" r:id="rId440" w:tooltip="Закон Новосибирской области от 02.11.2021 N 128-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10.2021 N 128-ЗС) {КонсультантПлюс}">
        <w:r>
          <w:rPr>
            <w:sz w:val="20"/>
            <w:color w:val="0000ff"/>
          </w:rPr>
          <w:t xml:space="preserve">Закона</w:t>
        </w:r>
      </w:hyperlink>
      <w:r>
        <w:rPr>
          <w:sz w:val="20"/>
        </w:rPr>
        <w:t xml:space="preserve"> Новосибирской области от 02.11.2021 N 128-ОЗ)</w:t>
      </w:r>
    </w:p>
    <w:p>
      <w:pPr>
        <w:pStyle w:val="0"/>
        <w:spacing w:before="200" w:line-rule="auto"/>
        <w:ind w:firstLine="540"/>
        <w:jc w:val="both"/>
      </w:pPr>
      <w:r>
        <w:rPr>
          <w:sz w:val="20"/>
        </w:rPr>
        <w:t xml:space="preserve">2) утратил силу с 1 января 2006 года. - </w:t>
      </w:r>
      <w:hyperlink w:history="0" r:id="rId441" w:tooltip="Закон Новосибирской области от 12.04.2004 N 176-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25.03.2004 N 176-ОСД) {КонсультантПлюс}">
        <w:r>
          <w:rPr>
            <w:sz w:val="20"/>
            <w:color w:val="0000ff"/>
          </w:rPr>
          <w:t xml:space="preserve">Закон</w:t>
        </w:r>
      </w:hyperlink>
      <w:r>
        <w:rPr>
          <w:sz w:val="20"/>
        </w:rPr>
        <w:t xml:space="preserve"> Новосибирской области от 12.04.2004 N 176-ОЗ;</w:t>
      </w:r>
    </w:p>
    <w:p>
      <w:pPr>
        <w:pStyle w:val="0"/>
        <w:spacing w:before="200" w:line-rule="auto"/>
        <w:ind w:firstLine="540"/>
        <w:jc w:val="both"/>
      </w:pPr>
      <w:r>
        <w:rPr>
          <w:sz w:val="20"/>
        </w:rPr>
        <w:t xml:space="preserve">3) общественные организации инвалидов, среди членов которых инвалиды и их законные представители составляют не менее 80%, - в отношении имущества, используемого ими для осуществления своей уставной деятельности, за исключением имущества, сдаваемого в аренду;</w:t>
      </w:r>
    </w:p>
    <w:p>
      <w:pPr>
        <w:pStyle w:val="0"/>
        <w:spacing w:before="200" w:line-rule="auto"/>
        <w:ind w:firstLine="540"/>
        <w:jc w:val="both"/>
      </w:pPr>
      <w:r>
        <w:rPr>
          <w:sz w:val="20"/>
        </w:rPr>
        <w:t xml:space="preserve">4) утратил силу с 1 января 2020 года. - </w:t>
      </w:r>
      <w:hyperlink w:history="0" r:id="rId442" w:tooltip="Закон Новосибирской области от 04.06.2019 N 369-ОЗ (ред. от 09.10.2019) &quot;О внесении изменений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5.2019 N 369-ЗС) {КонсультантПлюс}">
        <w:r>
          <w:rPr>
            <w:sz w:val="20"/>
            <w:color w:val="0000ff"/>
          </w:rPr>
          <w:t xml:space="preserve">Закон</w:t>
        </w:r>
      </w:hyperlink>
      <w:r>
        <w:rPr>
          <w:sz w:val="20"/>
        </w:rPr>
        <w:t xml:space="preserve"> Новосибирской области от 04.06.2019 N 369-ОЗ;</w:t>
      </w:r>
    </w:p>
    <w:p>
      <w:pPr>
        <w:pStyle w:val="0"/>
        <w:spacing w:before="200" w:line-rule="auto"/>
        <w:ind w:firstLine="540"/>
        <w:jc w:val="both"/>
      </w:pPr>
      <w:r>
        <w:rPr>
          <w:sz w:val="20"/>
        </w:rPr>
        <w:t xml:space="preserve">5) действовал по 31 декабря 2008 года. - </w:t>
      </w:r>
      <w:hyperlink w:history="0" r:id="rId443" w:tooltip="Закон Новосибирской области от 13.10.2008 N 270-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Новосибирского областного Совета депутатов от 02.10.2008 N 270-ОСД) ------------ Утратил силу или отменен {КонсультантПлюс}">
        <w:r>
          <w:rPr>
            <w:sz w:val="20"/>
            <w:color w:val="0000ff"/>
          </w:rPr>
          <w:t xml:space="preserve">Закон</w:t>
        </w:r>
      </w:hyperlink>
      <w:r>
        <w:rPr>
          <w:sz w:val="20"/>
        </w:rPr>
        <w:t xml:space="preserve"> Новосибирской области от 13.10.2008 N 270-ОЗ;</w:t>
      </w:r>
    </w:p>
    <w:p>
      <w:pPr>
        <w:pStyle w:val="0"/>
        <w:spacing w:before="200" w:line-rule="auto"/>
        <w:ind w:firstLine="540"/>
        <w:jc w:val="both"/>
      </w:pPr>
      <w:r>
        <w:rPr>
          <w:sz w:val="20"/>
        </w:rPr>
        <w:t xml:space="preserve">6) утратил силу с 1 января 2015 года. - </w:t>
      </w:r>
      <w:hyperlink w:history="0" r:id="rId444" w:tooltip="Закон Новосибирской области от 31.10.2014 N 475-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10.2014 N 475-ЗС) {КонсультантПлюс}">
        <w:r>
          <w:rPr>
            <w:sz w:val="20"/>
            <w:color w:val="0000ff"/>
          </w:rPr>
          <w:t xml:space="preserve">Закон</w:t>
        </w:r>
      </w:hyperlink>
      <w:r>
        <w:rPr>
          <w:sz w:val="20"/>
        </w:rPr>
        <w:t xml:space="preserve"> Новосибирской области от 31.10.2014 N 475-ОЗ;</w:t>
      </w:r>
    </w:p>
    <w:p>
      <w:pPr>
        <w:pStyle w:val="0"/>
        <w:spacing w:before="200" w:line-rule="auto"/>
        <w:ind w:firstLine="540"/>
        <w:jc w:val="both"/>
      </w:pPr>
      <w:r>
        <w:rPr>
          <w:sz w:val="20"/>
        </w:rPr>
        <w:t xml:space="preserve">7) организации, осуществляющие перевозки пассажиров метрополитеном, - в отношении имущества, относящегося к объектам электросетевого хозяйства, а также сооружений, являющихся их неотъемлемой технологической частью. Перечень указанного имущества утверждается Правительством Новосибирской области;</w:t>
      </w:r>
    </w:p>
    <w:p>
      <w:pPr>
        <w:pStyle w:val="0"/>
        <w:jc w:val="both"/>
      </w:pPr>
      <w:r>
        <w:rPr>
          <w:sz w:val="20"/>
        </w:rPr>
        <w:t xml:space="preserve">(п. 7 введен </w:t>
      </w:r>
      <w:hyperlink w:history="0" r:id="rId445" w:tooltip="Закон Новосибирской области от 29.11.2012 N 281-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11.2012 N 281-ЗС) {КонсультантПлюс}">
        <w:r>
          <w:rPr>
            <w:sz w:val="20"/>
            <w:color w:val="0000ff"/>
          </w:rPr>
          <w:t xml:space="preserve">Законом</w:t>
        </w:r>
      </w:hyperlink>
      <w:r>
        <w:rPr>
          <w:sz w:val="20"/>
        </w:rPr>
        <w:t xml:space="preserve"> Новосибирской области от 29.11.2012 N 281-ОЗ)</w:t>
      </w:r>
    </w:p>
    <w:p>
      <w:pPr>
        <w:pStyle w:val="0"/>
        <w:spacing w:before="200" w:line-rule="auto"/>
        <w:ind w:firstLine="540"/>
        <w:jc w:val="both"/>
      </w:pPr>
      <w:r>
        <w:rPr>
          <w:sz w:val="20"/>
        </w:rPr>
        <w:t xml:space="preserve">8) организации, осуществляющие содержание, разведение, экспонирование, изучение животных в искусственных условиях (зоологические парки), - в отношении имущества, используемого ими в указанной деятельности;</w:t>
      </w:r>
    </w:p>
    <w:p>
      <w:pPr>
        <w:pStyle w:val="0"/>
        <w:jc w:val="both"/>
      </w:pPr>
      <w:r>
        <w:rPr>
          <w:sz w:val="20"/>
        </w:rPr>
        <w:t xml:space="preserve">(п. 8 введен </w:t>
      </w:r>
      <w:hyperlink w:history="0" r:id="rId446"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Законом</w:t>
        </w:r>
      </w:hyperlink>
      <w:r>
        <w:rPr>
          <w:sz w:val="20"/>
        </w:rPr>
        <w:t xml:space="preserve"> Новосибирской области от 05.03.2013 N 299-ОЗ)</w:t>
      </w:r>
    </w:p>
    <w:p>
      <w:pPr>
        <w:pStyle w:val="0"/>
        <w:spacing w:before="200" w:line-rule="auto"/>
        <w:ind w:firstLine="540"/>
        <w:jc w:val="both"/>
      </w:pPr>
      <w:r>
        <w:rPr>
          <w:sz w:val="20"/>
        </w:rPr>
        <w:t xml:space="preserve">9) действовал до 1 января 2022 года. - </w:t>
      </w:r>
      <w:hyperlink w:history="0" r:id="rId447" w:tooltip="Закон Новосибирской области от 18.12.2015 N 30-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7.12.2015 N 30-ЗС) {КонсультантПлюс}">
        <w:r>
          <w:rPr>
            <w:sz w:val="20"/>
            <w:color w:val="0000ff"/>
          </w:rPr>
          <w:t xml:space="preserve">Закон</w:t>
        </w:r>
      </w:hyperlink>
      <w:r>
        <w:rPr>
          <w:sz w:val="20"/>
        </w:rPr>
        <w:t xml:space="preserve"> Новосибирской области от 18.12.2015 N 30-ОЗ;</w:t>
      </w:r>
    </w:p>
    <w:p>
      <w:pPr>
        <w:pStyle w:val="0"/>
        <w:spacing w:before="200" w:line-rule="auto"/>
        <w:ind w:firstLine="540"/>
        <w:jc w:val="both"/>
      </w:pPr>
      <w:r>
        <w:rPr>
          <w:sz w:val="20"/>
        </w:rPr>
        <w:t xml:space="preserve">10) действовал до 1 января 2019 года. - </w:t>
      </w:r>
      <w:hyperlink w:history="0" r:id="rId448" w:tooltip="Закон Новосибирской области от 02.03.2016 N 3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политике Новосибирской области в сфере развития инновационной системы&quot; (принят постановлением Законодательного Собрания Новосибирской области от 26.02.2016 N 39-ЗС) {КонсультантПлюс}">
        <w:r>
          <w:rPr>
            <w:sz w:val="20"/>
            <w:color w:val="0000ff"/>
          </w:rPr>
          <w:t xml:space="preserve">Закон</w:t>
        </w:r>
      </w:hyperlink>
      <w:r>
        <w:rPr>
          <w:sz w:val="20"/>
        </w:rPr>
        <w:t xml:space="preserve"> Новосибирской области от 02.03.2016 N 39-ОЗ;</w:t>
      </w:r>
    </w:p>
    <w:p>
      <w:pPr>
        <w:pStyle w:val="0"/>
        <w:spacing w:before="200" w:line-rule="auto"/>
        <w:ind w:firstLine="540"/>
        <w:jc w:val="both"/>
      </w:pPr>
      <w:r>
        <w:rPr>
          <w:sz w:val="20"/>
        </w:rPr>
        <w:t xml:space="preserve">11) действовал до 1 января 2021 года. - </w:t>
      </w:r>
      <w:hyperlink w:history="0" r:id="rId449" w:tooltip="Закон Новосибирской области от 19.12.2016 N 12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5.12.2016 N 124-ЗС) {КонсультантПлюс}">
        <w:r>
          <w:rPr>
            <w:sz w:val="20"/>
            <w:color w:val="0000ff"/>
          </w:rPr>
          <w:t xml:space="preserve">Закон</w:t>
        </w:r>
      </w:hyperlink>
      <w:r>
        <w:rPr>
          <w:sz w:val="20"/>
        </w:rPr>
        <w:t xml:space="preserve"> Новосибирской области от 19.12.2016 N 124-ОЗ;</w:t>
      </w:r>
    </w:p>
    <w:p>
      <w:pPr>
        <w:pStyle w:val="0"/>
        <w:spacing w:before="200" w:line-rule="auto"/>
        <w:ind w:firstLine="540"/>
        <w:jc w:val="both"/>
      </w:pPr>
      <w:r>
        <w:rPr>
          <w:sz w:val="20"/>
        </w:rPr>
        <w:t xml:space="preserve">12) организации, получившие статус резидента территории опережающего развития, - в отношении имущества, вновь создаваемого или приобретаемого в рамках реализации соглашения об осуществлении деятельности на территории опережающего развития;</w:t>
      </w:r>
    </w:p>
    <w:p>
      <w:pPr>
        <w:pStyle w:val="0"/>
        <w:jc w:val="both"/>
      </w:pPr>
      <w:r>
        <w:rPr>
          <w:sz w:val="20"/>
        </w:rPr>
        <w:t xml:space="preserve">(п. 12 введен </w:t>
      </w:r>
      <w:hyperlink w:history="0" r:id="rId450" w:tooltip="Закон Новосибирской области от 06.07.2018 N 27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6.2018 N 270-ЗС) {КонсультантПлюс}">
        <w:r>
          <w:rPr>
            <w:sz w:val="20"/>
            <w:color w:val="0000ff"/>
          </w:rPr>
          <w:t xml:space="preserve">Законом</w:t>
        </w:r>
      </w:hyperlink>
      <w:r>
        <w:rPr>
          <w:sz w:val="20"/>
        </w:rPr>
        <w:t xml:space="preserve"> Новосибирской области от 06.07.2018 N 270-ОЗ; в ред. </w:t>
      </w:r>
      <w:hyperlink w:history="0" r:id="rId451"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Закона</w:t>
        </w:r>
      </w:hyperlink>
      <w:r>
        <w:rPr>
          <w:sz w:val="20"/>
        </w:rPr>
        <w:t xml:space="preserve"> Новосибирской области от 02.11.2022 N 259-ОЗ)</w:t>
      </w:r>
    </w:p>
    <w:p>
      <w:pPr>
        <w:pStyle w:val="0"/>
        <w:spacing w:before="200" w:line-rule="auto"/>
        <w:ind w:firstLine="540"/>
        <w:jc w:val="both"/>
      </w:pPr>
      <w:r>
        <w:rPr>
          <w:sz w:val="20"/>
        </w:rPr>
        <w:t xml:space="preserve">13) профессиональные союзы, их объединения (ассоциации) - в отношении объектов недвижимого имущества, указанных в </w:t>
      </w:r>
      <w:hyperlink w:history="0" w:anchor="P380" w:tooltip="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
        <w:r>
          <w:rPr>
            <w:sz w:val="20"/>
            <w:color w:val="0000ff"/>
          </w:rPr>
          <w:t xml:space="preserve">пункте 1 статьи 4.5</w:t>
        </w:r>
      </w:hyperlink>
      <w:r>
        <w:rPr>
          <w:sz w:val="20"/>
        </w:rPr>
        <w:t xml:space="preserve"> настоящего Закона, используемых ими для осуществления своей уставной деятельности;</w:t>
      </w:r>
    </w:p>
    <w:p>
      <w:pPr>
        <w:pStyle w:val="0"/>
        <w:jc w:val="both"/>
      </w:pPr>
      <w:r>
        <w:rPr>
          <w:sz w:val="20"/>
        </w:rPr>
        <w:t xml:space="preserve">(п. 13 введен </w:t>
      </w:r>
      <w:hyperlink w:history="0" r:id="rId452" w:tooltip="Закон Новосибирской области от 01.07.2019 N 39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9 N 390-ЗС) {КонсультантПлюс}">
        <w:r>
          <w:rPr>
            <w:sz w:val="20"/>
            <w:color w:val="0000ff"/>
          </w:rPr>
          <w:t xml:space="preserve">Законом</w:t>
        </w:r>
      </w:hyperlink>
      <w:r>
        <w:rPr>
          <w:sz w:val="20"/>
        </w:rPr>
        <w:t xml:space="preserve"> Новосибирской области от 01.07.2019 N 390-ОЗ)</w:t>
      </w:r>
    </w:p>
    <w:p>
      <w:pPr>
        <w:pStyle w:val="0"/>
        <w:spacing w:before="200" w:line-rule="auto"/>
        <w:ind w:firstLine="540"/>
        <w:jc w:val="both"/>
      </w:pPr>
      <w:r>
        <w:rPr>
          <w:sz w:val="20"/>
        </w:rPr>
        <w:t xml:space="preserve">14) социально ориентированные некоммерческие организации, состоящие в одном из следующих реестров: реестр некоммерческих организаций - исполнителей общественно полезных услуг, государственный реестр социально ориентированных некоммерческих организаций - получателей государственной поддержки в Новосибирской области, реестр поставщиков социальных услуг Новосибирской области, - в отношении имущества, используемого ими для осуществления уставной деятельности;</w:t>
      </w:r>
    </w:p>
    <w:p>
      <w:pPr>
        <w:pStyle w:val="0"/>
        <w:jc w:val="both"/>
      </w:pPr>
      <w:r>
        <w:rPr>
          <w:sz w:val="20"/>
        </w:rPr>
        <w:t xml:space="preserve">(п. 14 введен </w:t>
      </w:r>
      <w:hyperlink w:history="0" r:id="rId453" w:tooltip="Закон Новосибирской области от 05.10.2021 N 108-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30.09.2021 N 108-ЗС) {КонсультантПлюс}">
        <w:r>
          <w:rPr>
            <w:sz w:val="20"/>
            <w:color w:val="0000ff"/>
          </w:rPr>
          <w:t xml:space="preserve">Законом</w:t>
        </w:r>
      </w:hyperlink>
      <w:r>
        <w:rPr>
          <w:sz w:val="20"/>
        </w:rPr>
        <w:t xml:space="preserve"> Новосибирской области от 05.10.2021 N 108-ОЗ)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Положения п. 15 ст. 8.11, введенного </w:t>
            </w:r>
            <w:hyperlink w:history="0" r:id="rId454"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Законом</w:t>
              </w:r>
            </w:hyperlink>
            <w:r>
              <w:rPr>
                <w:sz w:val="20"/>
                <w:color w:val="392c69"/>
              </w:rPr>
              <w:t xml:space="preserve"> Новосибирской области от 19.07.2022 N 242-ОЗ, </w:t>
            </w:r>
            <w:hyperlink w:history="0" r:id="rId455"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применяются</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организации, осуществляющие деятельность в области информационных технологий, получившие государственную аккредитацию в порядке, установленном федеральным законодательством - в отношении имущества, используемого ими для осуществления своей уставной деятельности, при условии, что по итогам налогового периода в сумме всех доходов организации, осуществляющей деятельность в области информационных технологий, не менее 70 процентов составляют доходы, указанные в </w:t>
      </w:r>
      <w:hyperlink w:history="0" r:id="rId456"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пункте 1.15 статьи 284</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Основанием применения налоговой льготы, указанной в настоящем пункте, является представление по итогам налогового периода в налоговый орган по месту учета заявления о применении налоговой льготы, а также расчета доли доходов от непосредственной деятельности в области информационных технологий.</w:t>
      </w:r>
    </w:p>
    <w:p>
      <w:pPr>
        <w:pStyle w:val="0"/>
        <w:spacing w:before="200" w:line-rule="auto"/>
        <w:ind w:firstLine="540"/>
        <w:jc w:val="both"/>
      </w:pPr>
      <w:r>
        <w:rPr>
          <w:sz w:val="20"/>
        </w:rPr>
        <w:t xml:space="preserve">В случае, если государственная аккредитация организации аннулирована, организации отказывается в предоставлении налоговой льготы, предусмотренной настоящим пунктом, с начала налогового периода, в котором аннулирована государственная аккредитация;</w:t>
      </w:r>
    </w:p>
    <w:p>
      <w:pPr>
        <w:pStyle w:val="0"/>
        <w:jc w:val="both"/>
      </w:pPr>
      <w:r>
        <w:rPr>
          <w:sz w:val="20"/>
        </w:rPr>
        <w:t xml:space="preserve">(п. 15 введен </w:t>
      </w:r>
      <w:hyperlink w:history="0" r:id="rId457" w:tooltip="Закон Новосибирской области от 19.07.2022 N 24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4.07.2022 N 242-ЗС) {КонсультантПлюс}">
        <w:r>
          <w:rPr>
            <w:sz w:val="20"/>
            <w:color w:val="0000ff"/>
          </w:rPr>
          <w:t xml:space="preserve">Законом</w:t>
        </w:r>
      </w:hyperlink>
      <w:r>
        <w:rPr>
          <w:sz w:val="20"/>
        </w:rPr>
        <w:t xml:space="preserve"> Новосибирской области от 19.07.2022 N 242-ОЗ)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16 ст. 8.11, введенный </w:t>
            </w:r>
            <w:hyperlink w:history="0" r:id="rId458" w:tooltip="Закон Новосибирской области от 05.10.2022 N 24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9.2022 N 244-ЗС) {КонсультантПлюс}">
              <w:r>
                <w:rPr>
                  <w:sz w:val="20"/>
                  <w:color w:val="0000ff"/>
                </w:rPr>
                <w:t xml:space="preserve">Законом</w:t>
              </w:r>
            </w:hyperlink>
            <w:r>
              <w:rPr>
                <w:sz w:val="20"/>
                <w:color w:val="392c69"/>
              </w:rPr>
              <w:t xml:space="preserve"> Новосибирской области от 05.10.2022 N 244-ОЗ, </w:t>
            </w:r>
            <w:hyperlink w:history="0" r:id="rId459" w:tooltip="Закон Новосибирской области от 05.10.2022 N 24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9.2022 N 244-ЗС) {КонсультантПлюс}">
              <w:r>
                <w:rPr>
                  <w:sz w:val="20"/>
                  <w:color w:val="0000ff"/>
                </w:rPr>
                <w:t xml:space="preserve">действует</w:t>
              </w:r>
            </w:hyperlink>
            <w:r>
              <w:rPr>
                <w:sz w:val="20"/>
                <w:color w:val="392c69"/>
              </w:rPr>
              <w:t xml:space="preserve"> по 31.12.2029.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организации - в отношении имущества, построенного (реконструированного) в соответствии с </w:t>
      </w:r>
      <w:hyperlink w:history="0" r:id="rId460" w:tooltip="Постановление Правительства Новосибирской области от 16.02.2015 N 66-п (ред. от 27.03.2024) &quot;Об утверждении государственной программы Новосибирской области &quot;Жилищно-коммунальное хозяйство Новосибирской области&quot; (с изм. и доп., вступающими в силу с 01.06.2024) {КонсультантПлюс}">
        <w:r>
          <w:rPr>
            <w:sz w:val="20"/>
            <w:color w:val="0000ff"/>
          </w:rPr>
          <w:t xml:space="preserve">приложением N 1</w:t>
        </w:r>
      </w:hyperlink>
      <w:r>
        <w:rPr>
          <w:sz w:val="20"/>
        </w:rPr>
        <w:t xml:space="preserve"> к подпрограмме "Газификация" 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 февраля 2015 года N 66-п (далее - государственная программа), и введенного в эксплуатацию после 1 января 2016 года, с Региональной </w:t>
      </w:r>
      <w:hyperlink w:history="0" r:id="rId461" w:tooltip="Постановление Правительства Новосибирской области от 30.03.2022 N 144-п (ред. от 01.04.2024) &quot;Об утверждении Региональной программы газификации жилищно-коммунального хозяйства, промышленных и иных организаций на территории Новосибирской области&quot; {КонсультантПлюс}">
        <w:r>
          <w:rPr>
            <w:sz w:val="20"/>
            <w:color w:val="0000ff"/>
          </w:rPr>
          <w:t xml:space="preserve">программой</w:t>
        </w:r>
      </w:hyperlink>
      <w:r>
        <w:rPr>
          <w:sz w:val="20"/>
        </w:rPr>
        <w:t xml:space="preserve"> газификации жилищно-коммунального хозяйства, промышленных и иных организаций на территории Новосибирской области, утвержденной постановлением Правительства Новосибирской области от 30 марта 2022 года N 144-п (далее - Региональная программа).</w:t>
      </w:r>
    </w:p>
    <w:p>
      <w:pPr>
        <w:pStyle w:val="0"/>
        <w:spacing w:before="200" w:line-rule="auto"/>
        <w:ind w:firstLine="540"/>
        <w:jc w:val="both"/>
      </w:pPr>
      <w:r>
        <w:rPr>
          <w:sz w:val="20"/>
        </w:rPr>
        <w:t xml:space="preserve">Основанием применения налоговой льготы, указанной в настоящем пункте, является представление организацией по итогам налогового периода в налоговый орган налоговой декларации по налогу на имущество организаций, а также акта ввода имущества в эксплуатацию и правоустанавливающих документов на имущество.</w:t>
      </w:r>
    </w:p>
    <w:p>
      <w:pPr>
        <w:pStyle w:val="0"/>
        <w:spacing w:before="200" w:line-rule="auto"/>
        <w:ind w:firstLine="540"/>
        <w:jc w:val="both"/>
      </w:pPr>
      <w:r>
        <w:rPr>
          <w:sz w:val="20"/>
        </w:rPr>
        <w:t xml:space="preserve">Организации освобождаются от налога на имущество организаций в соответствии с настоящим пунктом после ввода в эксплуатацию имущества независимо от действия, изменения или отмены действия государственной программы, Региональной программы, в рамках реализации которых оно было построено (реконструировано) и введено в эксплуатацию;</w:t>
      </w:r>
    </w:p>
    <w:p>
      <w:pPr>
        <w:pStyle w:val="0"/>
        <w:jc w:val="both"/>
      </w:pPr>
      <w:r>
        <w:rPr>
          <w:sz w:val="20"/>
        </w:rPr>
        <w:t xml:space="preserve">(п. 16 введен </w:t>
      </w:r>
      <w:hyperlink w:history="0" r:id="rId462" w:tooltip="Закон Новосибирской области от 05.10.2022 N 24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9.09.2022 N 244-ЗС) {КонсультантПлюс}">
        <w:r>
          <w:rPr>
            <w:sz w:val="20"/>
            <w:color w:val="0000ff"/>
          </w:rPr>
          <w:t xml:space="preserve">Законом</w:t>
        </w:r>
      </w:hyperlink>
      <w:r>
        <w:rPr>
          <w:sz w:val="20"/>
        </w:rPr>
        <w:t xml:space="preserve"> Новосибирской области от 05.10.2022 N 244-ОЗ)</w:t>
      </w:r>
    </w:p>
    <w:p>
      <w:pPr>
        <w:pStyle w:val="0"/>
        <w:spacing w:before="200" w:line-rule="auto"/>
        <w:ind w:firstLine="540"/>
        <w:jc w:val="both"/>
      </w:pPr>
      <w:r>
        <w:rPr>
          <w:sz w:val="20"/>
        </w:rPr>
        <w:t xml:space="preserve">17) концессионеры -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 переданных концессионеру и (или) созданных концессионером в соответствии с концессионным соглашением.</w:t>
      </w:r>
    </w:p>
    <w:p>
      <w:pPr>
        <w:pStyle w:val="0"/>
        <w:spacing w:before="200" w:line-rule="auto"/>
        <w:ind w:firstLine="540"/>
        <w:jc w:val="both"/>
      </w:pPr>
      <w:r>
        <w:rPr>
          <w:sz w:val="20"/>
        </w:rPr>
        <w:t xml:space="preserve">Основанием применения налоговой льготы, указанной в настоящем пункте, является представление по итогам налогового периода в налоговый орган налоговой декларации по налогу на имущество организаций, концессионного соглашения и акта приема-передачи объекта концессионного соглашения в отношении которого заявлена льгота;</w:t>
      </w:r>
    </w:p>
    <w:p>
      <w:pPr>
        <w:pStyle w:val="0"/>
        <w:jc w:val="both"/>
      </w:pPr>
      <w:r>
        <w:rPr>
          <w:sz w:val="20"/>
        </w:rPr>
        <w:t xml:space="preserve">(п. 17 введен </w:t>
      </w:r>
      <w:hyperlink w:history="0" r:id="rId463" w:tooltip="Закон Новосибирской области от 16.12.2022 N 284-ОЗ &quot;О внесении изменения в статью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5.12.2022 N 284-ЗС) {КонсультантПлюс}">
        <w:r>
          <w:rPr>
            <w:sz w:val="20"/>
            <w:color w:val="0000ff"/>
          </w:rPr>
          <w:t xml:space="preserve">Законом</w:t>
        </w:r>
      </w:hyperlink>
      <w:r>
        <w:rPr>
          <w:sz w:val="20"/>
        </w:rPr>
        <w:t xml:space="preserve"> Новосибирской области от 16.12.2022 N 284-ОЗ)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18 ст. 8.11, введенный </w:t>
            </w:r>
            <w:hyperlink w:history="0" r:id="rId464"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Законом</w:t>
              </w:r>
            </w:hyperlink>
            <w:r>
              <w:rPr>
                <w:sz w:val="20"/>
                <w:color w:val="392c69"/>
              </w:rPr>
              <w:t xml:space="preserve"> Новосибирской области от 21.12.2022 N 308-ОЗ, </w:t>
            </w:r>
            <w:hyperlink w:history="0" r:id="rId465"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действует</w:t>
              </w:r>
            </w:hyperlink>
            <w:r>
              <w:rPr>
                <w:sz w:val="20"/>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организации, применяющие упрощенную систему налогообложения и включенные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w:t>
      </w:r>
    </w:p>
    <w:p>
      <w:pPr>
        <w:pStyle w:val="0"/>
        <w:spacing w:before="200" w:line-rule="auto"/>
        <w:ind w:firstLine="540"/>
        <w:jc w:val="both"/>
      </w:pPr>
      <w:r>
        <w:rPr>
          <w:sz w:val="20"/>
        </w:rPr>
        <w:t xml:space="preserve">Основанием применения налоговой льготы, указанной в настоящем пункте, является представление по итогам налогового периода в налоговый орган по месту учета заявления о применении налоговой льготы;</w:t>
      </w:r>
    </w:p>
    <w:p>
      <w:pPr>
        <w:pStyle w:val="0"/>
        <w:jc w:val="both"/>
      </w:pPr>
      <w:r>
        <w:rPr>
          <w:sz w:val="20"/>
        </w:rPr>
        <w:t xml:space="preserve">(п. 18 введен </w:t>
      </w:r>
      <w:hyperlink w:history="0" r:id="rId466" w:tooltip="Закон Новосибирской области от 21.12.2022 N 30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статью 2 Закона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1.12.2022 N 308-ЗС) {КонсультантПлюс}">
        <w:r>
          <w:rPr>
            <w:sz w:val="20"/>
            <w:color w:val="0000ff"/>
          </w:rPr>
          <w:t xml:space="preserve">Законом</w:t>
        </w:r>
      </w:hyperlink>
      <w:r>
        <w:rPr>
          <w:sz w:val="20"/>
        </w:rPr>
        <w:t xml:space="preserve"> Новосибирской области от 21.12.2022 N 308-ОЗ)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19 ст. 8.11, введенный </w:t>
            </w:r>
            <w:hyperlink w:history="0" r:id="rId467"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color w:val="392c69"/>
              </w:rPr>
              <w:t xml:space="preserve"> Новосибирской области от 12.03.2024 N 424-ОЗ, </w:t>
            </w:r>
            <w:hyperlink w:history="0" r:id="rId468"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действует</w:t>
              </w:r>
            </w:hyperlink>
            <w:r>
              <w:rPr>
                <w:sz w:val="20"/>
                <w:color w:val="392c69"/>
              </w:rPr>
              <w:t xml:space="preserve"> по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19) организации, основным видом экономической деятельности которых является деятельность, относящаяся к видам экономической деятельности "деятельность почтовой связи общего пользования" Общероссийского </w:t>
      </w:r>
      <w:hyperlink w:history="0" r:id="rId469" w:tooltip="&quot;ОК 029-2014 (КДЕС Ред. 2). Общероссийский классификатор видов экономической деятельности&quot; (утв. Приказом Росстандарта от 31.01.2014 N 14-ст) (ред. от 31.01.2024) {КонсультантПлюс}">
        <w:r>
          <w:rPr>
            <w:sz w:val="20"/>
            <w:color w:val="0000ff"/>
          </w:rPr>
          <w:t xml:space="preserve">классификатора</w:t>
        </w:r>
      </w:hyperlink>
      <w:r>
        <w:rPr>
          <w:sz w:val="20"/>
        </w:rPr>
        <w:t xml:space="preserve"> видов экономической деятельности ОК 029-2014 (КДЕС Ред. 2), при условии оказания услуг по доставке и (или) выплате пенсий и пособий.</w:t>
      </w:r>
    </w:p>
    <w:p>
      <w:pPr>
        <w:pStyle w:val="0"/>
        <w:spacing w:before="200" w:line-rule="auto"/>
        <w:ind w:firstLine="540"/>
        <w:jc w:val="both"/>
      </w:pPr>
      <w:r>
        <w:rPr>
          <w:sz w:val="20"/>
        </w:rPr>
        <w:t xml:space="preserve">Основанием применения налоговой льготы, указанной в настоящем пункте, является соглашение, заключенное налогоплательщиком с Правительством Новосибирской области в целях развития и расширения сети почтовой связи на территории Новосибирской области.</w:t>
      </w:r>
    </w:p>
    <w:p>
      <w:pPr>
        <w:pStyle w:val="0"/>
        <w:spacing w:before="200" w:line-rule="auto"/>
        <w:ind w:firstLine="540"/>
        <w:jc w:val="both"/>
      </w:pPr>
      <w:r>
        <w:rPr>
          <w:sz w:val="20"/>
        </w:rPr>
        <w:t xml:space="preserve">Областной исполнительный орган Новосибирской области, уполномоченный в сфере цифрового развития и связи, передает данные о налогоплательщиках, заключивших соглашения с Правительством Новосибирской области, в Управление Федеральной налоговой службы по Новосибирской области до 15 февраля года, следующего за истекшим налоговым периодом.</w:t>
      </w:r>
    </w:p>
    <w:p>
      <w:pPr>
        <w:pStyle w:val="0"/>
        <w:jc w:val="both"/>
      </w:pPr>
      <w:r>
        <w:rPr>
          <w:sz w:val="20"/>
        </w:rPr>
        <w:t xml:space="preserve">(п. 19 введен </w:t>
      </w:r>
      <w:hyperlink w:history="0" r:id="rId470" w:tooltip="Закон Новосибирской области от 12.03.2024 N 424-ОЗ &quot;О внесении изменений в статьи 2.4 и 8.11 Закона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5.03.2024 N 424-ЗС) {КонсультантПлюс}">
        <w:r>
          <w:rPr>
            <w:sz w:val="20"/>
            <w:color w:val="0000ff"/>
          </w:rPr>
          <w:t xml:space="preserve">Законом</w:t>
        </w:r>
      </w:hyperlink>
      <w:r>
        <w:rPr>
          <w:sz w:val="20"/>
        </w:rPr>
        <w:t xml:space="preserve"> Новосибирской области от 12.03.2024 N 424-ОЗ)</w:t>
      </w:r>
    </w:p>
    <w:p>
      <w:pPr>
        <w:pStyle w:val="0"/>
        <w:ind w:firstLine="540"/>
        <w:jc w:val="both"/>
      </w:pPr>
      <w:r>
        <w:rPr>
          <w:sz w:val="20"/>
        </w:rPr>
      </w:r>
    </w:p>
    <w:p>
      <w:pPr>
        <w:pStyle w:val="2"/>
        <w:outlineLvl w:val="3"/>
        <w:ind w:firstLine="540"/>
        <w:jc w:val="both"/>
      </w:pPr>
      <w:r>
        <w:rPr>
          <w:sz w:val="20"/>
        </w:rPr>
        <w:t xml:space="preserve">Статья 8.12. Утратила силу с 1 января 2017 года. - </w:t>
      </w:r>
      <w:hyperlink w:history="0" r:id="rId471" w:tooltip="Закон Новосибирской области от 31.05.2016 N 6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6.05.2016 N 67-ЗС) {КонсультантПлюс}">
        <w:r>
          <w:rPr>
            <w:sz w:val="20"/>
            <w:color w:val="0000ff"/>
          </w:rPr>
          <w:t xml:space="preserve">Закон</w:t>
        </w:r>
      </w:hyperlink>
      <w:r>
        <w:rPr>
          <w:sz w:val="20"/>
        </w:rPr>
        <w:t xml:space="preserve"> Новосибирской области от 31.05.2016 N 67-ОЗ.</w:t>
      </w:r>
    </w:p>
    <w:p>
      <w:pPr>
        <w:pStyle w:val="0"/>
        <w:ind w:firstLine="540"/>
        <w:jc w:val="both"/>
      </w:pPr>
      <w:r>
        <w:rPr>
          <w:sz w:val="20"/>
        </w:rPr>
      </w:r>
    </w:p>
    <w:p>
      <w:pPr>
        <w:pStyle w:val="2"/>
        <w:outlineLvl w:val="3"/>
        <w:ind w:firstLine="540"/>
        <w:jc w:val="both"/>
      </w:pPr>
      <w:r>
        <w:rPr>
          <w:sz w:val="20"/>
        </w:rPr>
        <w:t xml:space="preserve">Статьи 8.12.1 - 8.12.2. Утратили силу с 1 января 2021 года. - </w:t>
      </w:r>
      <w:hyperlink w:history="0" r:id="rId472"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w:t>
        </w:r>
      </w:hyperlink>
      <w:r>
        <w:rPr>
          <w:sz w:val="20"/>
        </w:rPr>
        <w:t xml:space="preserve"> Новосибирской области от 10.11.2020 N 15-ОЗ.</w:t>
      </w:r>
    </w:p>
    <w:p>
      <w:pPr>
        <w:pStyle w:val="0"/>
        <w:ind w:firstLine="540"/>
        <w:jc w:val="both"/>
      </w:pPr>
      <w:r>
        <w:rPr>
          <w:sz w:val="20"/>
        </w:rPr>
      </w:r>
    </w:p>
    <w:p>
      <w:pPr>
        <w:pStyle w:val="2"/>
        <w:outlineLvl w:val="3"/>
        <w:ind w:firstLine="540"/>
        <w:jc w:val="both"/>
      </w:pPr>
      <w:r>
        <w:rPr>
          <w:sz w:val="20"/>
        </w:rPr>
        <w:t xml:space="preserve">Статья 8.12.3. Действовала до 1 января 2018 года. - </w:t>
      </w:r>
      <w:hyperlink w:history="0" r:id="rId473" w:tooltip="Закон Новосибирской области от 01.07.2015 N 562-ОЗ &quot;О внесении изменения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5.06.2015 N 562-ЗС) {КонсультантПлюс}">
        <w:r>
          <w:rPr>
            <w:sz w:val="20"/>
            <w:color w:val="0000ff"/>
          </w:rPr>
          <w:t xml:space="preserve">Закон</w:t>
        </w:r>
      </w:hyperlink>
      <w:r>
        <w:rPr>
          <w:sz w:val="20"/>
        </w:rPr>
        <w:t xml:space="preserve"> Новосибирской области от 01.07.2015 N 562-ОЗ.</w:t>
      </w:r>
    </w:p>
    <w:p>
      <w:pPr>
        <w:pStyle w:val="0"/>
        <w:jc w:val="both"/>
      </w:pPr>
      <w:r>
        <w:rPr>
          <w:sz w:val="20"/>
        </w:rPr>
      </w:r>
    </w:p>
    <w:p>
      <w:pPr>
        <w:pStyle w:val="2"/>
        <w:outlineLvl w:val="3"/>
        <w:ind w:firstLine="540"/>
        <w:jc w:val="both"/>
      </w:pPr>
      <w:r>
        <w:rPr>
          <w:sz w:val="20"/>
        </w:rPr>
        <w:t xml:space="preserve">Статья 8.12.4. Налоговые льготы по налогу на прибыль организаций организациям, получившим статус резидента территории опережающего развития</w:t>
      </w:r>
    </w:p>
    <w:p>
      <w:pPr>
        <w:pStyle w:val="0"/>
        <w:jc w:val="both"/>
      </w:pPr>
      <w:r>
        <w:rPr>
          <w:sz w:val="20"/>
        </w:rPr>
        <w:t xml:space="preserve">(в ред. </w:t>
      </w:r>
      <w:hyperlink w:history="0" r:id="rId474"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Закона</w:t>
        </w:r>
      </w:hyperlink>
      <w:r>
        <w:rPr>
          <w:sz w:val="20"/>
        </w:rPr>
        <w:t xml:space="preserve"> Новосибирской области от 02.11.2022 N 259-ОЗ)</w:t>
      </w:r>
    </w:p>
    <w:p>
      <w:pPr>
        <w:pStyle w:val="0"/>
        <w:ind w:firstLine="540"/>
        <w:jc w:val="both"/>
      </w:pPr>
      <w:r>
        <w:rPr>
          <w:sz w:val="20"/>
        </w:rPr>
        <w:t xml:space="preserve">(введена </w:t>
      </w:r>
      <w:hyperlink w:history="0" r:id="rId475" w:tooltip="Закон Новосибирской области от 06.07.2018 N 27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6.2018 N 270-ЗС) {КонсультантПлюс}">
        <w:r>
          <w:rPr>
            <w:sz w:val="20"/>
            <w:color w:val="0000ff"/>
          </w:rPr>
          <w:t xml:space="preserve">Законом</w:t>
        </w:r>
      </w:hyperlink>
      <w:r>
        <w:rPr>
          <w:sz w:val="20"/>
        </w:rPr>
        <w:t xml:space="preserve"> Новосибирской области от 06.07.2018 N 270-ОЗ)</w:t>
      </w:r>
    </w:p>
    <w:p>
      <w:pPr>
        <w:pStyle w:val="0"/>
        <w:ind w:firstLine="540"/>
        <w:jc w:val="both"/>
      </w:pPr>
      <w:r>
        <w:rPr>
          <w:sz w:val="20"/>
        </w:rPr>
      </w:r>
    </w:p>
    <w:p>
      <w:pPr>
        <w:pStyle w:val="0"/>
        <w:ind w:firstLine="540"/>
        <w:jc w:val="both"/>
      </w:pPr>
      <w:r>
        <w:rPr>
          <w:sz w:val="20"/>
        </w:rPr>
        <w:t xml:space="preserve">Организациям, получившим статус резидента территории опережающего развития, устанавливается налоговая </w:t>
      </w:r>
      <w:hyperlink w:history="0" r:id="rId476" w:tooltip="&quot;Налоговый кодекс Российской Федерации (часть вторая)&quot; от 05.08.2000 N 117-ФЗ (ред. от 29.05.2024) (с изм. и доп., вступ. в силу с 01.06.2024) {КонсультантПлюс}">
        <w:r>
          <w:rPr>
            <w:sz w:val="20"/>
            <w:color w:val="0000ff"/>
          </w:rPr>
          <w:t xml:space="preserve">ставка</w:t>
        </w:r>
      </w:hyperlink>
      <w:r>
        <w:rPr>
          <w:sz w:val="20"/>
        </w:rPr>
        <w:t xml:space="preserve"> по налогу на прибыль организаций, подлежащему зачислению в областной бюджет Новосибирской области, в следующих размерах:</w:t>
      </w:r>
    </w:p>
    <w:p>
      <w:pPr>
        <w:pStyle w:val="0"/>
        <w:jc w:val="both"/>
      </w:pPr>
      <w:r>
        <w:rPr>
          <w:sz w:val="20"/>
        </w:rPr>
        <w:t xml:space="preserve">(в ред. </w:t>
      </w:r>
      <w:hyperlink w:history="0" r:id="rId477"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Закона</w:t>
        </w:r>
      </w:hyperlink>
      <w:r>
        <w:rPr>
          <w:sz w:val="20"/>
        </w:rPr>
        <w:t xml:space="preserve"> Новосибирской области от 02.11.2022 N 259-ОЗ)</w:t>
      </w:r>
    </w:p>
    <w:p>
      <w:pPr>
        <w:pStyle w:val="0"/>
        <w:spacing w:before="200" w:line-rule="auto"/>
        <w:ind w:firstLine="540"/>
        <w:jc w:val="both"/>
      </w:pPr>
      <w:r>
        <w:rPr>
          <w:sz w:val="20"/>
        </w:rPr>
        <w:t xml:space="preserve">0% -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478" w:tooltip="Закон Новосибирской области от 02.11.2022 N 25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7.10.2022 N 259-ЗС) {КонсультантПлюс}">
        <w:r>
          <w:rPr>
            <w:sz w:val="20"/>
            <w:color w:val="0000ff"/>
          </w:rPr>
          <w:t xml:space="preserve">Закона</w:t>
        </w:r>
      </w:hyperlink>
      <w:r>
        <w:rPr>
          <w:sz w:val="20"/>
        </w:rPr>
        <w:t xml:space="preserve"> Новосибирской области от 02.11.2022 N 259-ОЗ)</w:t>
      </w:r>
    </w:p>
    <w:p>
      <w:pPr>
        <w:pStyle w:val="0"/>
        <w:spacing w:before="200" w:line-rule="auto"/>
        <w:ind w:firstLine="540"/>
        <w:jc w:val="both"/>
      </w:pPr>
      <w:r>
        <w:rPr>
          <w:sz w:val="20"/>
        </w:rPr>
        <w:t xml:space="preserve">10% - в течение следующих пяти налоговых периодов.</w:t>
      </w:r>
    </w:p>
    <w:p>
      <w:pPr>
        <w:pStyle w:val="0"/>
        <w:ind w:firstLine="540"/>
        <w:jc w:val="both"/>
      </w:pPr>
      <w:r>
        <w:rPr>
          <w:sz w:val="20"/>
        </w:rPr>
      </w:r>
    </w:p>
    <w:p>
      <w:pPr>
        <w:pStyle w:val="2"/>
        <w:outlineLvl w:val="3"/>
        <w:ind w:firstLine="540"/>
        <w:jc w:val="both"/>
      </w:pPr>
      <w:r>
        <w:rPr>
          <w:sz w:val="20"/>
        </w:rPr>
        <w:t xml:space="preserve">Статья 8.13. Предоставление отсрочки, рассрочки, инвестиционного налогового кредита иным категориям налогоплательщиков</w:t>
      </w:r>
    </w:p>
    <w:p>
      <w:pPr>
        <w:pStyle w:val="0"/>
        <w:jc w:val="both"/>
      </w:pPr>
      <w:r>
        <w:rPr>
          <w:sz w:val="20"/>
        </w:rPr>
        <w:t xml:space="preserve">(в ред. </w:t>
      </w:r>
      <w:hyperlink w:history="0" r:id="rId479"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ind w:firstLine="540"/>
        <w:jc w:val="both"/>
      </w:pPr>
      <w:r>
        <w:rPr>
          <w:sz w:val="20"/>
        </w:rPr>
        <w:t xml:space="preserve">(введена </w:t>
      </w:r>
      <w:hyperlink w:history="0" r:id="rId480" w:tooltip="Закон Новосибирской области от 05.03.2013 N 299-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8.02.2013 N 299-ЗС) {КонсультантПлюс}">
        <w:r>
          <w:rPr>
            <w:sz w:val="20"/>
            <w:color w:val="0000ff"/>
          </w:rPr>
          <w:t xml:space="preserve">Законом</w:t>
        </w:r>
      </w:hyperlink>
      <w:r>
        <w:rPr>
          <w:sz w:val="20"/>
        </w:rPr>
        <w:t xml:space="preserve"> Новосибирской области от 05.03.2013 N 299-ОЗ)</w:t>
      </w:r>
    </w:p>
    <w:p>
      <w:pPr>
        <w:pStyle w:val="0"/>
        <w:ind w:firstLine="540"/>
        <w:jc w:val="both"/>
      </w:pPr>
      <w:r>
        <w:rPr>
          <w:sz w:val="20"/>
        </w:rPr>
      </w:r>
    </w:p>
    <w:p>
      <w:pPr>
        <w:pStyle w:val="0"/>
        <w:ind w:firstLine="540"/>
        <w:jc w:val="both"/>
      </w:pPr>
      <w:r>
        <w:rPr>
          <w:sz w:val="20"/>
        </w:rPr>
        <w:t xml:space="preserve">1. Предоставление отсрочки, рассрочки, инвестиционного налогового кредита иным категориям налогоплательщиков осуществляется в порядке, на условиях и по основаниям, предусмотренным </w:t>
      </w:r>
      <w:hyperlink w:history="0" r:id="rId481" w:tooltip="&quot;Налоговый кодекс Российской Федерации (часть первая)&quot; от 31.07.1998 N 146-ФЗ (ред. от 23.03.2024) {КонсультантПлюс}">
        <w:r>
          <w:rPr>
            <w:sz w:val="20"/>
            <w:color w:val="0000ff"/>
          </w:rPr>
          <w:t xml:space="preserve">главой 9</w:t>
        </w:r>
      </w:hyperlink>
      <w:r>
        <w:rPr>
          <w:sz w:val="20"/>
        </w:rPr>
        <w:t xml:space="preserve"> Налогового кодекса Российской Федерации.</w:t>
      </w:r>
    </w:p>
    <w:p>
      <w:pPr>
        <w:pStyle w:val="0"/>
        <w:jc w:val="both"/>
      </w:pPr>
      <w:r>
        <w:rPr>
          <w:sz w:val="20"/>
        </w:rPr>
        <w:t xml:space="preserve">(в ред. </w:t>
      </w:r>
      <w:hyperlink w:history="0" r:id="rId482"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spacing w:before="200" w:line-rule="auto"/>
        <w:ind w:firstLine="540"/>
        <w:jc w:val="both"/>
      </w:pPr>
      <w:r>
        <w:rPr>
          <w:sz w:val="20"/>
        </w:rPr>
        <w:t xml:space="preserve">2. Решение о предоставлении отсрочки, рассрочки, инвестиционного налогового кредита по налогу на прибыль организаций, подлежащему зачислению в областной бюджет Новосибирской области, и по региональным налогам в части решений о переносе срока исполнения обязанностей по уплате указанных налогов в форме инвестиционного налогового кредита организациям в порядке, на условиях и по основаниям, установленным </w:t>
      </w:r>
      <w:hyperlink w:history="0" r:id="rId483" w:tooltip="&quot;Налоговый кодекс Российской Федерации (часть первая)&quot; от 31.07.1998 N 146-ФЗ (ред. от 23.03.2024) {КонсультантПлюс}">
        <w:r>
          <w:rPr>
            <w:sz w:val="20"/>
            <w:color w:val="0000ff"/>
          </w:rPr>
          <w:t xml:space="preserve">статьей 67</w:t>
        </w:r>
      </w:hyperlink>
      <w:r>
        <w:rPr>
          <w:sz w:val="20"/>
        </w:rPr>
        <w:t xml:space="preserve"> Налогового кодекса Российской Федерации, принимается областным исполнительным органом государственной власти Новосибирской области, уполномоченным в сфере инвестиционной деятельности, по согласованию с областным исполнительным органом государственной власти Новосибирской области, уполномоченным в сфере финансов.</w:t>
      </w:r>
    </w:p>
    <w:p>
      <w:pPr>
        <w:pStyle w:val="0"/>
        <w:jc w:val="both"/>
      </w:pPr>
      <w:r>
        <w:rPr>
          <w:sz w:val="20"/>
        </w:rPr>
        <w:t xml:space="preserve">(в ред. </w:t>
      </w:r>
      <w:hyperlink w:history="0" r:id="rId484" w:tooltip="Закон Новосибирской области от 14.06.2023 N 337-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08.06.2023 N 337-ЗС) {КонсультантПлюс}">
        <w:r>
          <w:rPr>
            <w:sz w:val="20"/>
            <w:color w:val="0000ff"/>
          </w:rPr>
          <w:t xml:space="preserve">Закона</w:t>
        </w:r>
      </w:hyperlink>
      <w:r>
        <w:rPr>
          <w:sz w:val="20"/>
        </w:rPr>
        <w:t xml:space="preserve"> Новосибирской области от 14.06.2023 N 337-ОЗ)</w:t>
      </w:r>
    </w:p>
    <w:p>
      <w:pPr>
        <w:pStyle w:val="0"/>
        <w:ind w:firstLine="540"/>
        <w:jc w:val="both"/>
      </w:pPr>
      <w:r>
        <w:rPr>
          <w:sz w:val="20"/>
        </w:rPr>
      </w:r>
    </w:p>
    <w:p>
      <w:pPr>
        <w:pStyle w:val="2"/>
        <w:outlineLvl w:val="3"/>
        <w:ind w:firstLine="540"/>
        <w:jc w:val="both"/>
      </w:pPr>
      <w:r>
        <w:rPr>
          <w:sz w:val="20"/>
        </w:rPr>
        <w:t xml:space="preserve">Статья 8.14. Утратила силу с 1 января 2021 года. - </w:t>
      </w:r>
      <w:hyperlink w:history="0" r:id="rId485" w:tooltip="Закон Новосибирской области от 10.11.2020 N 15-ОЗ &quot;О внесении изменений в отдельные законы Новосибирской области в сфере налогообложения&quot; (принят постановлением Законодательного Собрания Новосибирской области от 05.11.2020 N 15-ЗС) {КонсультантПлюс}">
        <w:r>
          <w:rPr>
            <w:sz w:val="20"/>
            <w:color w:val="0000ff"/>
          </w:rPr>
          <w:t xml:space="preserve">Закон</w:t>
        </w:r>
      </w:hyperlink>
      <w:r>
        <w:rPr>
          <w:sz w:val="20"/>
        </w:rPr>
        <w:t xml:space="preserve"> Новосибирской области от 10.11.2020 N 15-ОЗ.</w:t>
      </w:r>
    </w:p>
    <w:p>
      <w:pPr>
        <w:pStyle w:val="0"/>
        <w:ind w:firstLine="540"/>
        <w:jc w:val="both"/>
      </w:pPr>
      <w:r>
        <w:rPr>
          <w:sz w:val="20"/>
        </w:rPr>
      </w:r>
    </w:p>
    <w:p>
      <w:pPr>
        <w:pStyle w:val="2"/>
        <w:outlineLvl w:val="1"/>
        <w:jc w:val="center"/>
      </w:pPr>
      <w:r>
        <w:rPr>
          <w:sz w:val="20"/>
        </w:rPr>
        <w:t xml:space="preserve">Раздел V. ЗАКЛЮЧИТЕЛЬНЫЕ ПОЛОЖЕНИЯ</w:t>
      </w:r>
    </w:p>
    <w:p>
      <w:pPr>
        <w:pStyle w:val="0"/>
      </w:pPr>
      <w:r>
        <w:rPr>
          <w:sz w:val="20"/>
        </w:rPr>
      </w:r>
    </w:p>
    <w:p>
      <w:pPr>
        <w:pStyle w:val="2"/>
        <w:outlineLvl w:val="2"/>
        <w:jc w:val="center"/>
      </w:pPr>
      <w:r>
        <w:rPr>
          <w:sz w:val="20"/>
        </w:rPr>
        <w:t xml:space="preserve">Глава 9. ВВЕДЕНИЕ В ДЕЙСТВИЕ НАСТОЯЩЕГО ЗАКОНА</w:t>
      </w:r>
    </w:p>
    <w:p>
      <w:pPr>
        <w:pStyle w:val="0"/>
      </w:pPr>
      <w:r>
        <w:rPr>
          <w:sz w:val="20"/>
        </w:rPr>
      </w:r>
    </w:p>
    <w:p>
      <w:pPr>
        <w:pStyle w:val="0"/>
        <w:outlineLvl w:val="3"/>
        <w:ind w:firstLine="540"/>
        <w:jc w:val="both"/>
      </w:pPr>
      <w:r>
        <w:rPr>
          <w:sz w:val="20"/>
        </w:rPr>
        <w:t xml:space="preserve">Статья 9.1. Признать утратившими силу с 1 января 2004 года:</w:t>
      </w:r>
    </w:p>
    <w:p>
      <w:pPr>
        <w:pStyle w:val="0"/>
        <w:spacing w:before="200" w:line-rule="auto"/>
        <w:ind w:firstLine="540"/>
        <w:jc w:val="both"/>
      </w:pPr>
      <w:hyperlink w:history="0" r:id="rId486" w:tooltip="Закон Новосибирской области от 24.06.1999 N 65-ОЗ (ред. от 27.12.2001) &quot;О налоге с продаж&quot; (принят Новосибирским областным Советом депутатов 23.06.1999) ------------ Утратил силу или отменен {КонсультантПлюс}">
        <w:r>
          <w:rPr>
            <w:sz w:val="20"/>
            <w:color w:val="0000ff"/>
          </w:rPr>
          <w:t xml:space="preserve">Закон</w:t>
        </w:r>
      </w:hyperlink>
      <w:r>
        <w:rPr>
          <w:sz w:val="20"/>
        </w:rPr>
        <w:t xml:space="preserve"> Новосибирской области от 24 июня 1999 года N 65-ОЗ "О налоге с продаж";</w:t>
      </w:r>
    </w:p>
    <w:p>
      <w:pPr>
        <w:pStyle w:val="0"/>
        <w:spacing w:before="200" w:line-rule="auto"/>
        <w:ind w:firstLine="540"/>
        <w:jc w:val="both"/>
      </w:pPr>
      <w:hyperlink w:history="0" r:id="rId487" w:tooltip="Закон Новосибирской области от 15.11.1999 N 75-ОЗ (ред. от 03.05.2001) &quot;О внесении изменений и дополнений в Закон Новосибирской области &quot;О налоге с продаж&quot; (принят Новосибирским областным Советом депутатов 02.11.1999) ------------ Утратил силу или отменен {КонсультантПлюс}">
        <w:r>
          <w:rPr>
            <w:sz w:val="20"/>
            <w:color w:val="0000ff"/>
          </w:rPr>
          <w:t xml:space="preserve">Закон</w:t>
        </w:r>
      </w:hyperlink>
      <w:r>
        <w:rPr>
          <w:sz w:val="20"/>
        </w:rPr>
        <w:t xml:space="preserve"> Новосибирской области от 15 ноября 1999 года N 75-ОЗ "О внесении изменений и дополнений в Закон Новосибирской области "О налоге с продаж";</w:t>
      </w:r>
    </w:p>
    <w:p>
      <w:pPr>
        <w:pStyle w:val="0"/>
        <w:spacing w:before="200" w:line-rule="auto"/>
        <w:ind w:firstLine="540"/>
        <w:jc w:val="both"/>
      </w:pPr>
      <w:hyperlink w:history="0" r:id="rId488" w:tooltip="Закон Новосибирской области от 27.04.2000 N 97-ОЗ (ред. от 03.05.2001) &quot;О внесении изменений и дополнений в Закон Новосибирской области &quot;О налоге с продаж&quot; (принят Новосибирским областным Советом депутатов 27.04.2000) ------------ Утратил силу или отменен {КонсультантПлюс}">
        <w:r>
          <w:rPr>
            <w:sz w:val="20"/>
            <w:color w:val="0000ff"/>
          </w:rPr>
          <w:t xml:space="preserve">Закон</w:t>
        </w:r>
      </w:hyperlink>
      <w:r>
        <w:rPr>
          <w:sz w:val="20"/>
        </w:rPr>
        <w:t xml:space="preserve"> Новосибирской области от 27 апреля 2000 года N 97-ОЗ "О внесении изменений и дополнений в Закон Новосибирской области "О налоге с продаж";</w:t>
      </w:r>
    </w:p>
    <w:p>
      <w:pPr>
        <w:pStyle w:val="0"/>
        <w:spacing w:before="200" w:line-rule="auto"/>
        <w:ind w:firstLine="540"/>
        <w:jc w:val="both"/>
      </w:pPr>
      <w:hyperlink w:history="0" r:id="rId489" w:tooltip="Закон Новосибирской области от 03.05.2001 N 152-ОЗ &quot;О внесении изменений и дополнений в Закон Новосибирской области &quot;О налоге с продаж&quot; (принят Новосибирским областным Советом депутатов 25.04.2001) ------------ Утратил силу или отменен {КонсультантПлюс}">
        <w:r>
          <w:rPr>
            <w:sz w:val="20"/>
            <w:color w:val="0000ff"/>
          </w:rPr>
          <w:t xml:space="preserve">Закон</w:t>
        </w:r>
      </w:hyperlink>
      <w:r>
        <w:rPr>
          <w:sz w:val="20"/>
        </w:rPr>
        <w:t xml:space="preserve"> Новосибирской области от 3 мая 2001 года N 152-ОЗ "О внесении изменений и дополнений в Закон Новосибирской области "О налоге с продаж";</w:t>
      </w:r>
    </w:p>
    <w:p>
      <w:pPr>
        <w:pStyle w:val="0"/>
        <w:spacing w:before="200" w:line-rule="auto"/>
        <w:ind w:firstLine="540"/>
        <w:jc w:val="both"/>
      </w:pPr>
      <w:hyperlink w:history="0" r:id="rId490" w:tooltip="Закон Новосибирской области от 27.12.2001 N 1-ОЗ &quot;О внесении изменений и дополнений в Закон Новосибирской области &quot;О налоге с продаж&quot; (принят Постановлением Новосибирского областного Совета депутатов от 20.12.2001 N 1-ОСД) ------------ Утратил силу или отменен {КонсультантПлюс}">
        <w:r>
          <w:rPr>
            <w:sz w:val="20"/>
            <w:color w:val="0000ff"/>
          </w:rPr>
          <w:t xml:space="preserve">Закон</w:t>
        </w:r>
      </w:hyperlink>
      <w:r>
        <w:rPr>
          <w:sz w:val="20"/>
        </w:rPr>
        <w:t xml:space="preserve"> Новосибирской области от 27 декабря 2001 года N 1-ОЗ "О внесении изменений и дополнений в Закон Новосибирской области "О налоге с продаж";</w:t>
      </w:r>
    </w:p>
    <w:p>
      <w:pPr>
        <w:pStyle w:val="0"/>
        <w:spacing w:before="200" w:line-rule="auto"/>
        <w:ind w:firstLine="540"/>
        <w:jc w:val="both"/>
      </w:pPr>
      <w:hyperlink w:history="0" r:id="rId491" w:tooltip="Закон Новосибирской области от 06.04.2002 N 19-ОЗ (ред. от 29.11.2002) &quot;О ставках платы за пользование водными объектами&quot; (принят Постановлением Новосибирского областного Совета депутатов от 28.03.2002 N 19-ОСД) ------------ Утратил силу или отменен {КонсультантПлюс}">
        <w:r>
          <w:rPr>
            <w:sz w:val="20"/>
            <w:color w:val="0000ff"/>
          </w:rPr>
          <w:t xml:space="preserve">Закон</w:t>
        </w:r>
      </w:hyperlink>
      <w:r>
        <w:rPr>
          <w:sz w:val="20"/>
        </w:rPr>
        <w:t xml:space="preserve"> Новосибирской области от 6 апреля 2002 года N 19-ОЗ "О ставках платы за пользование водными объектами";</w:t>
      </w:r>
    </w:p>
    <w:p>
      <w:pPr>
        <w:pStyle w:val="0"/>
        <w:spacing w:before="200" w:line-rule="auto"/>
        <w:ind w:firstLine="540"/>
        <w:jc w:val="both"/>
      </w:pPr>
      <w:hyperlink w:history="0" r:id="rId492" w:tooltip="Закон Новосибирской области от 29.11.2002 N 82-ОЗ &quot;О внесении изменений в Закон Новосибирской области &quot;О ставках платы за пользование водными объектами&quot; (принят Постановлением Новосибирского областного Совета депутатов от 22.11.2002 N 82-ОСД) ------------ Утратил силу или отменен {КонсультантПлюс}">
        <w:r>
          <w:rPr>
            <w:sz w:val="20"/>
            <w:color w:val="0000ff"/>
          </w:rPr>
          <w:t xml:space="preserve">Закон</w:t>
        </w:r>
      </w:hyperlink>
      <w:r>
        <w:rPr>
          <w:sz w:val="20"/>
        </w:rPr>
        <w:t xml:space="preserve"> Новосибирской области от 29 ноября 2002 года N 82-ОЗ "О внесении изменений в Закон Новосибирской области "О ставках платы за пользование водными объектами";</w:t>
      </w:r>
    </w:p>
    <w:p>
      <w:pPr>
        <w:pStyle w:val="0"/>
        <w:spacing w:before="200" w:line-rule="auto"/>
        <w:ind w:firstLine="540"/>
        <w:jc w:val="both"/>
      </w:pPr>
      <w:hyperlink w:history="0" r:id="rId493" w:tooltip="Закон Новосибирской области от 22.11.2002 N 69-ОЗ (ред. от 25.07.2003) &quot;О транспортном налоге&quot; (принят Постановлением Новосибирского областного Совета депутатов от 22.11.2002 N 69-ОСД) ------------ Утратил силу или отменен {КонсультантПлюс}">
        <w:r>
          <w:rPr>
            <w:sz w:val="20"/>
            <w:color w:val="0000ff"/>
          </w:rPr>
          <w:t xml:space="preserve">Закон</w:t>
        </w:r>
      </w:hyperlink>
      <w:r>
        <w:rPr>
          <w:sz w:val="20"/>
        </w:rPr>
        <w:t xml:space="preserve"> Новосибирской области от 22 ноября 2002 года N 69-ОЗ "О транспортном налоге";</w:t>
      </w:r>
    </w:p>
    <w:p>
      <w:pPr>
        <w:pStyle w:val="0"/>
        <w:spacing w:before="200" w:line-rule="auto"/>
        <w:ind w:firstLine="540"/>
        <w:jc w:val="both"/>
      </w:pPr>
      <w:hyperlink w:history="0" r:id="rId494" w:tooltip="Закон Новосибирской области от 25.07.2003 N 126-ОЗ &quot;О внесении изменений в Закон Новосибирской области &quot;О транспортном налоге&quot; (принят Постановлением Новосибирского областного Совета депутатов от 10.07.2003 N 126-ОСД) ------------ Утратил силу или отменен {КонсультантПлюс}">
        <w:r>
          <w:rPr>
            <w:sz w:val="20"/>
            <w:color w:val="0000ff"/>
          </w:rPr>
          <w:t xml:space="preserve">Закон</w:t>
        </w:r>
      </w:hyperlink>
      <w:r>
        <w:rPr>
          <w:sz w:val="20"/>
        </w:rPr>
        <w:t xml:space="preserve"> Новосибирской области от 25 июля 2003 года N 126-ОЗ "О внесении изменений в Закон Новосибирской области "О транспортном налоге";</w:t>
      </w:r>
    </w:p>
    <w:p>
      <w:pPr>
        <w:pStyle w:val="0"/>
        <w:spacing w:before="200" w:line-rule="auto"/>
        <w:ind w:firstLine="540"/>
        <w:jc w:val="both"/>
      </w:pPr>
      <w:hyperlink w:history="0" r:id="rId495" w:tooltip="Закон Новосибирской области от 27.11.1998 N 33-ОЗ (ред. от 14.02.2003) &quot;О ставках налога на игорный бизнес&quot; (принят Новосибирским областным Советом депутатов 25.11.1998) ------------ Утратил силу или отменен {КонсультантПлюс}">
        <w:r>
          <w:rPr>
            <w:sz w:val="20"/>
            <w:color w:val="0000ff"/>
          </w:rPr>
          <w:t xml:space="preserve">Закон</w:t>
        </w:r>
      </w:hyperlink>
      <w:r>
        <w:rPr>
          <w:sz w:val="20"/>
        </w:rPr>
        <w:t xml:space="preserve"> Новосибирской области от 27 ноября 1998 года N 33-ОЗ "О ставках налога на игорный бизнес";</w:t>
      </w:r>
    </w:p>
    <w:p>
      <w:pPr>
        <w:pStyle w:val="0"/>
        <w:spacing w:before="200" w:line-rule="auto"/>
        <w:ind w:firstLine="540"/>
        <w:jc w:val="both"/>
      </w:pPr>
      <w:hyperlink w:history="0" r:id="rId496" w:tooltip="Закон Новосибирской области от 15.11.1999 N 76-ОЗ &quot;О внесении изменений в Закон Новосибирской области &quot;О ставках налога на игорный бизнес&quot; (принят Новосибирским областным Советом депутатов 02.11.1999) ------------ Утратил силу или отменен {КонсультантПлюс}">
        <w:r>
          <w:rPr>
            <w:sz w:val="20"/>
            <w:color w:val="0000ff"/>
          </w:rPr>
          <w:t xml:space="preserve">Закон</w:t>
        </w:r>
      </w:hyperlink>
      <w:r>
        <w:rPr>
          <w:sz w:val="20"/>
        </w:rPr>
        <w:t xml:space="preserve"> Новосибирской области от 15 ноября 1999 года N 76-ОЗ "О внесении изменений в Закон Новосибирской области "О ставках налога на игорный бизнес";</w:t>
      </w:r>
    </w:p>
    <w:p>
      <w:pPr>
        <w:pStyle w:val="0"/>
        <w:spacing w:before="200" w:line-rule="auto"/>
        <w:ind w:firstLine="540"/>
        <w:jc w:val="both"/>
      </w:pPr>
      <w:hyperlink w:history="0" r:id="rId497" w:tooltip="Закон Новосибирской области от 28.03.2001 N 150-ОЗ &quot;О внесении изменений в Закон Новосибирской области &quot;О ставках налога на игорный бизнес&quot; (принят Новосибирским областным Советом депутатов 21.03.2001) ------------ Утратил силу или отменен {КонсультантПлюс}">
        <w:r>
          <w:rPr>
            <w:sz w:val="20"/>
            <w:color w:val="0000ff"/>
          </w:rPr>
          <w:t xml:space="preserve">Закон</w:t>
        </w:r>
      </w:hyperlink>
      <w:r>
        <w:rPr>
          <w:sz w:val="20"/>
        </w:rPr>
        <w:t xml:space="preserve"> Новосибирской области от 28 марта 2001 года N 150-ОЗ "О внесении изменений в Закон Новосибирской области "О ставках налога на игорный бизнес";</w:t>
      </w:r>
    </w:p>
    <w:p>
      <w:pPr>
        <w:pStyle w:val="0"/>
        <w:spacing w:before="200" w:line-rule="auto"/>
        <w:ind w:firstLine="540"/>
        <w:jc w:val="both"/>
      </w:pPr>
      <w:hyperlink w:history="0" r:id="rId498" w:tooltip="Закон Новосибирской области от 06.12.2001 N 205-ОЗ &quot;О внесении изменений в Закон Новосибирской области &quot;О ставках налога на игорный бизнес&quot; (принят Постановлением Новосибирского областного Совета депутатов от 21.11.2001 N 205-ОСД) ------------ Утратил силу или отменен {КонсультантПлюс}">
        <w:r>
          <w:rPr>
            <w:sz w:val="20"/>
            <w:color w:val="0000ff"/>
          </w:rPr>
          <w:t xml:space="preserve">Закон</w:t>
        </w:r>
      </w:hyperlink>
      <w:r>
        <w:rPr>
          <w:sz w:val="20"/>
        </w:rPr>
        <w:t xml:space="preserve"> Новосибирской области от 6 декабря 2001 года N 205-ОЗ "О внесении изменений в Закон Новосибирской области "О ставках налога на игорный бизнес";</w:t>
      </w:r>
    </w:p>
    <w:p>
      <w:pPr>
        <w:pStyle w:val="0"/>
        <w:spacing w:before="200" w:line-rule="auto"/>
        <w:ind w:firstLine="540"/>
        <w:jc w:val="both"/>
      </w:pPr>
      <w:hyperlink w:history="0" r:id="rId499" w:tooltip="Закон Новосибирской области от 14.02.2003 N 100-ОЗ &quot;О внесении изменений в Закон Новосибирской области &quot;О ставках налога на игорный бизнес&quot; (принят Постановлением Новосибирского областного Совета депутатов от 30.01.2003 N 100-ОСД) ------------ Утратил силу или отменен {КонсультантПлюс}">
        <w:r>
          <w:rPr>
            <w:sz w:val="20"/>
            <w:color w:val="0000ff"/>
          </w:rPr>
          <w:t xml:space="preserve">Закон</w:t>
        </w:r>
      </w:hyperlink>
      <w:r>
        <w:rPr>
          <w:sz w:val="20"/>
        </w:rPr>
        <w:t xml:space="preserve"> Новосибирской области от 14 февраля 2003 года N 100-ОЗ "О внесении изменений в Закон Новосибирской области "О ставках налога на игорный бизнес";</w:t>
      </w:r>
    </w:p>
    <w:p>
      <w:pPr>
        <w:pStyle w:val="0"/>
        <w:spacing w:before="200" w:line-rule="auto"/>
        <w:ind w:firstLine="540"/>
        <w:jc w:val="both"/>
      </w:pPr>
      <w:hyperlink w:history="0" r:id="rId500" w:tooltip="Закон Новосибирской области от 18.11.2002 N 64-ОЗ &quot;О налоговых ставках и льготах по налогам в Новосибирской области&quot; (принят Постановлением Новосибирского областного Совета депутатов от 31.10.2002 N 64-ОСД) ------------ Утратил силу или отменен {КонсультантПлюс}">
        <w:r>
          <w:rPr>
            <w:sz w:val="20"/>
            <w:color w:val="0000ff"/>
          </w:rPr>
          <w:t xml:space="preserve">Закон</w:t>
        </w:r>
      </w:hyperlink>
      <w:r>
        <w:rPr>
          <w:sz w:val="20"/>
        </w:rPr>
        <w:t xml:space="preserve"> Новосибирской области от 18 ноября 2002 года N 64-ОЗ "О налоговых ставках и льготах по налогам в Новосибирской области";</w:t>
      </w:r>
    </w:p>
    <w:p>
      <w:pPr>
        <w:pStyle w:val="0"/>
        <w:spacing w:before="200" w:line-rule="auto"/>
        <w:ind w:firstLine="540"/>
        <w:jc w:val="both"/>
      </w:pPr>
      <w:hyperlink w:history="0" r:id="rId501" w:tooltip="Закон Новосибирской области от 18.11.2002 N 63-ОЗ (ред. от 17.09.2003) &quot;О системе налогообложения в виде единого налога на вмененный доход для отдельных видов деятельности на территории Новосибирской области&quot; (принят Постановлением Новосибирского областного Совета депутатов от 31.10.2002 N 63-ОСД) ------------ Утратил силу или отменен {КонсультантПлюс}">
        <w:r>
          <w:rPr>
            <w:sz w:val="20"/>
            <w:color w:val="0000ff"/>
          </w:rPr>
          <w:t xml:space="preserve">Закон</w:t>
        </w:r>
      </w:hyperlink>
      <w:r>
        <w:rPr>
          <w:sz w:val="20"/>
        </w:rPr>
        <w:t xml:space="preserve"> Новосибирской области от 18 ноября 2002 года N 63-ОЗ "О системе налогообложения в виде единого налога на вмененный доход для отдельных видов деятельности на территории Новосибирской области";</w:t>
      </w:r>
    </w:p>
    <w:p>
      <w:pPr>
        <w:pStyle w:val="0"/>
        <w:spacing w:before="200" w:line-rule="auto"/>
        <w:ind w:firstLine="540"/>
        <w:jc w:val="both"/>
      </w:pPr>
      <w:hyperlink w:history="0" r:id="rId502" w:tooltip="Закон Новосибирской области от 14.02.2003 N 101-ОЗ &quot;О внесении изменений в Закон Новосибирской области &quot;О системе налогообложения в виде единого налога на вмененный доход для отдельных видов деятельности на территории Новосибирской области&quot; (принят Постановлением Новосибирского областного Совета депутатов от 30.01.2003 N 101-ОСД) ------------ Утратил силу или отменен {КонсультантПлюс}">
        <w:r>
          <w:rPr>
            <w:sz w:val="20"/>
            <w:color w:val="0000ff"/>
          </w:rPr>
          <w:t xml:space="preserve">Закон</w:t>
        </w:r>
      </w:hyperlink>
      <w:r>
        <w:rPr>
          <w:sz w:val="20"/>
        </w:rPr>
        <w:t xml:space="preserve"> Новосибирской области от 14 февраля 2003 года N 101-ОЗ "О внесении изменений в Закон Новосибирской области "О системе налогообложения в виде единого налога на вмененный доход для отдельных видов деятельности на территории Новосибирской области";</w:t>
      </w:r>
    </w:p>
    <w:p>
      <w:pPr>
        <w:pStyle w:val="0"/>
        <w:spacing w:before="200" w:line-rule="auto"/>
        <w:ind w:firstLine="540"/>
        <w:jc w:val="both"/>
      </w:pPr>
      <w:hyperlink w:history="0" r:id="rId503" w:tooltip="Закон Новосибирской области от 17.09.2003 N 140-ОЗ &quot;О внесении изменений в Закон Новосибирской области &quot;О системе налогообложения в виде единого налога на вмененный доход для отдельных видов деятельности на территории Новосибирской области&quot; (принят Постановлением Новосибирского областного Совета депутатов от 04.09.2003 N 140-ОСД) ------------ Утратил силу или отменен {КонсультантПлюс}">
        <w:r>
          <w:rPr>
            <w:sz w:val="20"/>
            <w:color w:val="0000ff"/>
          </w:rPr>
          <w:t xml:space="preserve">Закон</w:t>
        </w:r>
      </w:hyperlink>
      <w:r>
        <w:rPr>
          <w:sz w:val="20"/>
        </w:rPr>
        <w:t xml:space="preserve"> Новосибирской области от 17 сентября 2003 года N 140-ОЗ "О внесении изменений и дополнений в Закон Новосибирской области "О системе налогообложения в виде единого налога на вмененный доход для отдельных видов деятельности на территории Новосибирской области".</w:t>
      </w:r>
    </w:p>
    <w:p>
      <w:pPr>
        <w:pStyle w:val="0"/>
        <w:ind w:firstLine="540"/>
        <w:jc w:val="both"/>
      </w:pPr>
      <w:r>
        <w:rPr>
          <w:sz w:val="20"/>
        </w:rPr>
      </w:r>
    </w:p>
    <w:p>
      <w:pPr>
        <w:pStyle w:val="0"/>
        <w:outlineLvl w:val="3"/>
        <w:ind w:firstLine="540"/>
        <w:jc w:val="both"/>
      </w:pPr>
      <w:r>
        <w:rPr>
          <w:sz w:val="20"/>
        </w:rPr>
        <w:t xml:space="preserve">Статья 9.2. Утратила силу. - </w:t>
      </w:r>
      <w:hyperlink w:history="0" r:id="rId504" w:tooltip="Закон Новосибирской области от 01.12.2016 N 100-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4.11.2016 N 100-ЗС) {КонсультантПлюс}">
        <w:r>
          <w:rPr>
            <w:sz w:val="20"/>
            <w:color w:val="0000ff"/>
          </w:rPr>
          <w:t xml:space="preserve">Закон</w:t>
        </w:r>
      </w:hyperlink>
      <w:r>
        <w:rPr>
          <w:sz w:val="20"/>
        </w:rPr>
        <w:t xml:space="preserve"> Новосибирской области от 01.12.2016 N 100-ОЗ.</w:t>
      </w:r>
    </w:p>
    <w:p>
      <w:pPr>
        <w:pStyle w:val="0"/>
        <w:ind w:firstLine="540"/>
        <w:jc w:val="both"/>
      </w:pPr>
      <w:r>
        <w:rPr>
          <w:sz w:val="20"/>
        </w:rPr>
      </w:r>
    </w:p>
    <w:p>
      <w:pPr>
        <w:pStyle w:val="0"/>
        <w:outlineLvl w:val="3"/>
        <w:ind w:firstLine="540"/>
        <w:jc w:val="both"/>
      </w:pPr>
      <w:r>
        <w:rPr>
          <w:sz w:val="20"/>
        </w:rPr>
        <w:t xml:space="preserve">Статья 9.3. Утратила силу с 1 января 2011 года. - </w:t>
      </w:r>
      <w:hyperlink w:history="0" r:id="rId505" w:tooltip="Закон Новосибирской области от 13.11.2010 N 2-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11.11.2010 N 2-ЗС) {КонсультантПлюс}">
        <w:r>
          <w:rPr>
            <w:sz w:val="20"/>
            <w:color w:val="0000ff"/>
          </w:rPr>
          <w:t xml:space="preserve">Закон</w:t>
        </w:r>
      </w:hyperlink>
      <w:r>
        <w:rPr>
          <w:sz w:val="20"/>
        </w:rPr>
        <w:t xml:space="preserve"> Новосибирской области от 13.11.2010 N 2-ОЗ.</w:t>
      </w:r>
    </w:p>
    <w:p>
      <w:pPr>
        <w:pStyle w:val="0"/>
        <w:ind w:firstLine="540"/>
        <w:jc w:val="both"/>
      </w:pPr>
      <w:r>
        <w:rPr>
          <w:sz w:val="20"/>
        </w:rPr>
      </w:r>
    </w:p>
    <w:p>
      <w:pPr>
        <w:pStyle w:val="0"/>
        <w:outlineLvl w:val="3"/>
        <w:ind w:firstLine="540"/>
        <w:jc w:val="both"/>
      </w:pPr>
      <w:r>
        <w:rPr>
          <w:sz w:val="20"/>
        </w:rPr>
        <w:t xml:space="preserve">Статья 9.4. Настоящий Закон вступает в силу с 1 января 2004 года, но не ранее чем по истечении одного месяца со дня его официального опубликования.</w:t>
      </w:r>
    </w:p>
    <w:p>
      <w:pPr>
        <w:pStyle w:val="0"/>
        <w:ind w:firstLine="540"/>
        <w:jc w:val="both"/>
      </w:pPr>
      <w:r>
        <w:rPr>
          <w:sz w:val="20"/>
        </w:rPr>
      </w:r>
    </w:p>
    <w:p>
      <w:pPr>
        <w:pStyle w:val="0"/>
        <w:jc w:val="right"/>
      </w:pPr>
      <w:r>
        <w:rPr>
          <w:sz w:val="20"/>
        </w:rPr>
        <w:t xml:space="preserve">Глава администрации</w:t>
      </w:r>
    </w:p>
    <w:p>
      <w:pPr>
        <w:pStyle w:val="0"/>
        <w:jc w:val="right"/>
      </w:pPr>
      <w:r>
        <w:rPr>
          <w:sz w:val="20"/>
        </w:rPr>
        <w:t xml:space="preserve">Новосибирской области</w:t>
      </w:r>
    </w:p>
    <w:p>
      <w:pPr>
        <w:pStyle w:val="0"/>
        <w:jc w:val="right"/>
      </w:pPr>
      <w:r>
        <w:rPr>
          <w:sz w:val="20"/>
        </w:rPr>
        <w:t xml:space="preserve">В.А.ТОЛОКОНСКИЙ</w:t>
      </w:r>
    </w:p>
    <w:p>
      <w:pPr>
        <w:pStyle w:val="0"/>
      </w:pPr>
      <w:r>
        <w:rPr>
          <w:sz w:val="20"/>
        </w:rPr>
        <w:t xml:space="preserve">г. Новосибирск</w:t>
      </w:r>
    </w:p>
    <w:p>
      <w:pPr>
        <w:pStyle w:val="0"/>
        <w:spacing w:before="200" w:line-rule="auto"/>
      </w:pPr>
      <w:r>
        <w:rPr>
          <w:sz w:val="20"/>
        </w:rPr>
        <w:t xml:space="preserve">16 октября 2003 года</w:t>
      </w:r>
    </w:p>
    <w:p>
      <w:pPr>
        <w:pStyle w:val="0"/>
        <w:spacing w:before="200" w:line-rule="auto"/>
      </w:pPr>
      <w:r>
        <w:rPr>
          <w:sz w:val="20"/>
        </w:rPr>
        <w:t xml:space="preserve">N 142-ОЗ</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Закону Новосибирской области</w:t>
      </w:r>
    </w:p>
    <w:p>
      <w:pPr>
        <w:pStyle w:val="0"/>
        <w:jc w:val="right"/>
      </w:pPr>
      <w:r>
        <w:rPr>
          <w:sz w:val="20"/>
        </w:rPr>
        <w:t xml:space="preserve">"О налогах и особенностях</w:t>
      </w:r>
    </w:p>
    <w:p>
      <w:pPr>
        <w:pStyle w:val="0"/>
        <w:jc w:val="right"/>
      </w:pPr>
      <w:r>
        <w:rPr>
          <w:sz w:val="20"/>
        </w:rPr>
        <w:t xml:space="preserve">налогообложения отдельных</w:t>
      </w:r>
    </w:p>
    <w:p>
      <w:pPr>
        <w:pStyle w:val="0"/>
        <w:jc w:val="right"/>
      </w:pPr>
      <w:r>
        <w:rPr>
          <w:sz w:val="20"/>
        </w:rPr>
        <w:t xml:space="preserve">категорий налогоплательщиков</w:t>
      </w:r>
    </w:p>
    <w:p>
      <w:pPr>
        <w:pStyle w:val="0"/>
        <w:jc w:val="right"/>
      </w:pPr>
      <w:r>
        <w:rPr>
          <w:sz w:val="20"/>
        </w:rPr>
        <w:t xml:space="preserve">в Новосибирской области"</w:t>
      </w:r>
    </w:p>
    <w:p>
      <w:pPr>
        <w:pStyle w:val="0"/>
        <w:ind w:firstLine="540"/>
        <w:jc w:val="both"/>
      </w:pPr>
      <w:r>
        <w:rPr>
          <w:sz w:val="20"/>
        </w:rPr>
      </w:r>
    </w:p>
    <w:bookmarkStart w:id="1037" w:name="P1037"/>
    <w:bookmarkEnd w:id="1037"/>
    <w:p>
      <w:pPr>
        <w:pStyle w:val="2"/>
        <w:jc w:val="center"/>
      </w:pPr>
      <w:r>
        <w:rPr>
          <w:sz w:val="20"/>
        </w:rPr>
        <w:t xml:space="preserve">ПЕРЕЧЕНЬ</w:t>
      </w:r>
    </w:p>
    <w:p>
      <w:pPr>
        <w:pStyle w:val="2"/>
        <w:jc w:val="center"/>
      </w:pPr>
      <w:r>
        <w:rPr>
          <w:sz w:val="20"/>
        </w:rPr>
        <w:t xml:space="preserve">ВИДОВ ПРЕДПРИНИМАТЕЛЬСКОЙ ДЕЯТЕЛЬНОСТИ, В ОТНОШЕНИИ КОТОРЫХ</w:t>
      </w:r>
    </w:p>
    <w:p>
      <w:pPr>
        <w:pStyle w:val="2"/>
        <w:jc w:val="center"/>
      </w:pPr>
      <w:r>
        <w:rPr>
          <w:sz w:val="20"/>
        </w:rPr>
        <w:t xml:space="preserve">ПРИМЕНЯЕТСЯ ПАТЕНТНАЯ СИСТЕМА НАЛОГООБЛОЖЕНИЯ, И РАЗМЕРЫ</w:t>
      </w:r>
    </w:p>
    <w:p>
      <w:pPr>
        <w:pStyle w:val="2"/>
        <w:jc w:val="center"/>
      </w:pPr>
      <w:r>
        <w:rPr>
          <w:sz w:val="20"/>
        </w:rPr>
        <w:t xml:space="preserve">ПОТЕНЦИАЛЬНО ВОЗМОЖНОГО К ПОЛУЧЕНИЮ ИНДИВИДУАЛЬНЫМ</w:t>
      </w:r>
    </w:p>
    <w:p>
      <w:pPr>
        <w:pStyle w:val="2"/>
        <w:jc w:val="center"/>
      </w:pPr>
      <w:r>
        <w:rPr>
          <w:sz w:val="20"/>
        </w:rPr>
        <w:t xml:space="preserve">ПРЕДПРИНИМАТЕЛЕМ ГОДОВОГО ДОХОДА ПО</w:t>
      </w:r>
    </w:p>
    <w:p>
      <w:pPr>
        <w:pStyle w:val="2"/>
        <w:jc w:val="center"/>
      </w:pPr>
      <w:r>
        <w:rPr>
          <w:sz w:val="20"/>
        </w:rPr>
        <w:t xml:space="preserve">УКАЗАННЫМ ВИДАМ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06"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Закона</w:t>
              </w:r>
            </w:hyperlink>
            <w:r>
              <w:rPr>
                <w:sz w:val="20"/>
                <w:color w:val="392c69"/>
              </w:rPr>
              <w:t xml:space="preserve"> Новосибирской области</w:t>
            </w:r>
          </w:p>
          <w:p>
            <w:pPr>
              <w:pStyle w:val="0"/>
              <w:jc w:val="center"/>
            </w:pPr>
            <w:r>
              <w:rPr>
                <w:sz w:val="20"/>
                <w:color w:val="392c69"/>
              </w:rPr>
              <w:t xml:space="preserve">от 27.11.2023 N 388-ОЗ)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742"/>
        <w:gridCol w:w="3288"/>
        <w:gridCol w:w="1474"/>
        <w:gridCol w:w="1474"/>
        <w:gridCol w:w="1474"/>
        <w:gridCol w:w="1474"/>
      </w:tblGrid>
      <w:tr>
        <w:tc>
          <w:tcPr>
            <w:tcW w:w="680" w:type="dxa"/>
            <w:vAlign w:val="center"/>
            <w:vMerge w:val="restart"/>
          </w:tcPr>
          <w:p>
            <w:pPr>
              <w:pStyle w:val="0"/>
              <w:jc w:val="center"/>
            </w:pPr>
            <w:r>
              <w:rPr>
                <w:sz w:val="20"/>
              </w:rPr>
              <w:t xml:space="preserve">N п/п</w:t>
            </w:r>
          </w:p>
        </w:tc>
        <w:tc>
          <w:tcPr>
            <w:tcW w:w="3742" w:type="dxa"/>
            <w:vAlign w:val="center"/>
            <w:vMerge w:val="restart"/>
          </w:tcPr>
          <w:p>
            <w:pPr>
              <w:pStyle w:val="0"/>
              <w:jc w:val="center"/>
            </w:pPr>
            <w:r>
              <w:rPr>
                <w:sz w:val="20"/>
              </w:rPr>
              <w:t xml:space="preserve">Вид деятельности</w:t>
            </w:r>
          </w:p>
        </w:tc>
        <w:tc>
          <w:tcPr>
            <w:tcW w:w="3288" w:type="dxa"/>
            <w:vAlign w:val="center"/>
            <w:vMerge w:val="restart"/>
          </w:tcPr>
          <w:p>
            <w:pPr>
              <w:pStyle w:val="0"/>
              <w:jc w:val="center"/>
            </w:pPr>
            <w:r>
              <w:rPr>
                <w:sz w:val="20"/>
              </w:rPr>
              <w:t xml:space="preserve">Корректирующий показатель</w:t>
            </w:r>
          </w:p>
        </w:tc>
        <w:tc>
          <w:tcPr>
            <w:gridSpan w:val="4"/>
            <w:tcW w:w="5896" w:type="dxa"/>
            <w:vAlign w:val="center"/>
          </w:tcPr>
          <w:p>
            <w:pPr>
              <w:pStyle w:val="0"/>
              <w:jc w:val="center"/>
            </w:pPr>
            <w:r>
              <w:rPr>
                <w:sz w:val="20"/>
              </w:rPr>
              <w:t xml:space="preserve">Размер потенциально возможного к получению индивидуальным предпринимателем годового дохода (руб.) по предпринимательской деятельности, осуществляемой на территории:</w:t>
            </w:r>
          </w:p>
        </w:tc>
      </w:tr>
      <w:tr>
        <w:tc>
          <w:tcPr>
            <w:vMerge w:val="continue"/>
          </w:tcPr>
          <w:p/>
        </w:tc>
        <w:tc>
          <w:tcPr>
            <w:vMerge w:val="continue"/>
          </w:tcPr>
          <w:p/>
        </w:tc>
        <w:tc>
          <w:tcPr>
            <w:vMerge w:val="continue"/>
          </w:tcPr>
          <w:p/>
        </w:tc>
        <w:tc>
          <w:tcPr>
            <w:tcW w:w="1474" w:type="dxa"/>
            <w:vAlign w:val="center"/>
          </w:tcPr>
          <w:p>
            <w:pPr>
              <w:pStyle w:val="0"/>
              <w:jc w:val="center"/>
            </w:pPr>
            <w:r>
              <w:rPr>
                <w:sz w:val="20"/>
              </w:rPr>
              <w:t xml:space="preserve">городского округа с численностью населения более 1 млн. человек</w:t>
            </w:r>
          </w:p>
        </w:tc>
        <w:tc>
          <w:tcPr>
            <w:tcW w:w="1474" w:type="dxa"/>
            <w:vAlign w:val="center"/>
          </w:tcPr>
          <w:p>
            <w:pPr>
              <w:pStyle w:val="0"/>
              <w:jc w:val="center"/>
            </w:pPr>
            <w:r>
              <w:rPr>
                <w:sz w:val="20"/>
              </w:rPr>
              <w:t xml:space="preserve">городских округов с численностью населения до 1 млн. человек включительно</w:t>
            </w:r>
          </w:p>
        </w:tc>
        <w:tc>
          <w:tcPr>
            <w:tcW w:w="1474" w:type="dxa"/>
            <w:vAlign w:val="center"/>
          </w:tcPr>
          <w:p>
            <w:pPr>
              <w:pStyle w:val="0"/>
              <w:jc w:val="center"/>
            </w:pPr>
            <w:r>
              <w:rPr>
                <w:sz w:val="20"/>
              </w:rPr>
              <w:t xml:space="preserve">городских поселений</w:t>
            </w:r>
          </w:p>
        </w:tc>
        <w:tc>
          <w:tcPr>
            <w:tcW w:w="1474" w:type="dxa"/>
            <w:vAlign w:val="center"/>
          </w:tcPr>
          <w:p>
            <w:pPr>
              <w:pStyle w:val="0"/>
              <w:jc w:val="center"/>
            </w:pPr>
            <w:r>
              <w:rPr>
                <w:sz w:val="20"/>
              </w:rPr>
              <w:t xml:space="preserve">сельских поселений</w:t>
            </w:r>
          </w:p>
        </w:tc>
      </w:tr>
      <w:tr>
        <w:tc>
          <w:tcPr>
            <w:tcW w:w="680" w:type="dxa"/>
            <w:vAlign w:val="center"/>
            <w:vMerge w:val="restart"/>
          </w:tcPr>
          <w:bookmarkStart w:id="1055" w:name="P1055"/>
          <w:bookmarkEnd w:id="1055"/>
          <w:p>
            <w:pPr>
              <w:pStyle w:val="0"/>
              <w:jc w:val="center"/>
            </w:pPr>
            <w:r>
              <w:rPr>
                <w:sz w:val="20"/>
              </w:rPr>
              <w:t xml:space="preserve">1</w:t>
            </w:r>
          </w:p>
        </w:tc>
        <w:tc>
          <w:tcPr>
            <w:tcW w:w="3742" w:type="dxa"/>
            <w:vAlign w:val="center"/>
            <w:vMerge w:val="restart"/>
          </w:tcPr>
          <w:p>
            <w:pPr>
              <w:pStyle w:val="0"/>
            </w:pPr>
            <w:r>
              <w:rPr>
                <w:sz w:val="20"/>
              </w:rP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2</w:t>
            </w:r>
          </w:p>
        </w:tc>
        <w:tc>
          <w:tcPr>
            <w:tcW w:w="3742" w:type="dxa"/>
            <w:vAlign w:val="center"/>
            <w:vMerge w:val="restart"/>
          </w:tcPr>
          <w:p>
            <w:pPr>
              <w:pStyle w:val="0"/>
            </w:pPr>
            <w:r>
              <w:rPr>
                <w:sz w:val="20"/>
              </w:rPr>
              <w:t xml:space="preserve">Ремонт, чистка, окраска и пошив обуви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3</w:t>
            </w:r>
          </w:p>
        </w:tc>
        <w:tc>
          <w:tcPr>
            <w:tcW w:w="3742" w:type="dxa"/>
            <w:vAlign w:val="center"/>
            <w:vMerge w:val="restart"/>
          </w:tcPr>
          <w:p>
            <w:pPr>
              <w:pStyle w:val="0"/>
            </w:pPr>
            <w:r>
              <w:rPr>
                <w:sz w:val="20"/>
              </w:rPr>
              <w:t xml:space="preserve">Парикмахерские и косметические услуги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4</w:t>
            </w:r>
          </w:p>
        </w:tc>
        <w:tc>
          <w:tcPr>
            <w:tcW w:w="3742" w:type="dxa"/>
            <w:vAlign w:val="center"/>
            <w:vMerge w:val="restart"/>
          </w:tcPr>
          <w:p>
            <w:pPr>
              <w:pStyle w:val="0"/>
            </w:pPr>
            <w:r>
              <w:rPr>
                <w:sz w:val="20"/>
              </w:rPr>
              <w:t xml:space="preserve">Стирка, химическая чистка и крашение текстильных и меховых изделий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5</w:t>
            </w:r>
          </w:p>
        </w:tc>
        <w:tc>
          <w:tcPr>
            <w:tcW w:w="3742" w:type="dxa"/>
            <w:vAlign w:val="center"/>
            <w:vMerge w:val="restart"/>
          </w:tcPr>
          <w:p>
            <w:pPr>
              <w:pStyle w:val="0"/>
            </w:pPr>
            <w:r>
              <w:rPr>
                <w:sz w:val="20"/>
              </w:rPr>
              <w:t xml:space="preserve">Изготовление и ремонт металлической галантереи, ключей, номерных знаков, указателей улиц</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6</w:t>
            </w:r>
          </w:p>
        </w:tc>
        <w:tc>
          <w:tcPr>
            <w:tcW w:w="3742" w:type="dxa"/>
            <w:vAlign w:val="center"/>
            <w:vMerge w:val="restart"/>
          </w:tcPr>
          <w:p>
            <w:pPr>
              <w:pStyle w:val="0"/>
            </w:pPr>
            <w:r>
              <w:rPr>
                <w:sz w:val="20"/>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7</w:t>
            </w:r>
          </w:p>
        </w:tc>
        <w:tc>
          <w:tcPr>
            <w:tcW w:w="3742" w:type="dxa"/>
            <w:vAlign w:val="center"/>
            <w:vMerge w:val="restart"/>
          </w:tcPr>
          <w:p>
            <w:pPr>
              <w:pStyle w:val="0"/>
            </w:pPr>
            <w:r>
              <w:rPr>
                <w:sz w:val="20"/>
              </w:rPr>
              <w:t xml:space="preserve">Ремонт мебели и предметов домашнего обихода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8</w:t>
            </w:r>
          </w:p>
        </w:tc>
        <w:tc>
          <w:tcPr>
            <w:tcW w:w="3742" w:type="dxa"/>
            <w:vAlign w:val="center"/>
            <w:vMerge w:val="restart"/>
          </w:tcPr>
          <w:p>
            <w:pPr>
              <w:pStyle w:val="0"/>
            </w:pPr>
            <w:r>
              <w:rPr>
                <w:sz w:val="20"/>
              </w:rPr>
              <w:t xml:space="preserve">Услуги в области фотографии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bookmarkStart w:id="1151" w:name="P1151"/>
          <w:bookmarkEnd w:id="1151"/>
          <w:p>
            <w:pPr>
              <w:pStyle w:val="0"/>
              <w:jc w:val="center"/>
            </w:pPr>
            <w:r>
              <w:rPr>
                <w:sz w:val="20"/>
              </w:rPr>
              <w:t xml:space="preserve">9</w:t>
            </w:r>
          </w:p>
        </w:tc>
        <w:tc>
          <w:tcPr>
            <w:tcW w:w="3742" w:type="dxa"/>
            <w:vAlign w:val="center"/>
            <w:vMerge w:val="restart"/>
          </w:tcPr>
          <w:p>
            <w:pPr>
              <w:pStyle w:val="0"/>
            </w:pPr>
            <w:r>
              <w:rPr>
                <w:sz w:val="20"/>
              </w:rPr>
              <w:t xml:space="preserve">Ремонт, техническое обслуживание автотранспортных и мототранспортных средств, мотоциклов, машин и оборудования, мойка автотранспортных средств, полирование и предоставление аналогичных услуг</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1 292 600</w:t>
            </w:r>
          </w:p>
        </w:tc>
        <w:tc>
          <w:tcPr>
            <w:tcW w:w="1474" w:type="dxa"/>
            <w:vAlign w:val="center"/>
          </w:tcPr>
          <w:p>
            <w:pPr>
              <w:pStyle w:val="0"/>
              <w:jc w:val="center"/>
            </w:pPr>
            <w:r>
              <w:rPr>
                <w:sz w:val="20"/>
              </w:rPr>
              <w:t xml:space="preserve">1 242 800</w:t>
            </w:r>
          </w:p>
        </w:tc>
        <w:tc>
          <w:tcPr>
            <w:tcW w:w="1474" w:type="dxa"/>
            <w:vAlign w:val="center"/>
          </w:tcPr>
          <w:p>
            <w:pPr>
              <w:pStyle w:val="0"/>
              <w:jc w:val="center"/>
            </w:pPr>
            <w:r>
              <w:rPr>
                <w:sz w:val="20"/>
              </w:rPr>
              <w:t xml:space="preserve">1 178 600</w:t>
            </w:r>
          </w:p>
        </w:tc>
        <w:tc>
          <w:tcPr>
            <w:tcW w:w="1474" w:type="dxa"/>
            <w:vAlign w:val="center"/>
          </w:tcPr>
          <w:p>
            <w:pPr>
              <w:pStyle w:val="0"/>
              <w:jc w:val="center"/>
            </w:pPr>
            <w:r>
              <w:rPr>
                <w:sz w:val="20"/>
              </w:rPr>
              <w:t xml:space="preserve">1 062 200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603 000</w:t>
            </w:r>
          </w:p>
        </w:tc>
        <w:tc>
          <w:tcPr>
            <w:tcW w:w="1474" w:type="dxa"/>
            <w:vAlign w:val="center"/>
          </w:tcPr>
          <w:p>
            <w:pPr>
              <w:pStyle w:val="0"/>
              <w:jc w:val="center"/>
            </w:pPr>
            <w:r>
              <w:rPr>
                <w:sz w:val="20"/>
              </w:rPr>
              <w:t xml:space="preserve">520 000</w:t>
            </w:r>
          </w:p>
        </w:tc>
        <w:tc>
          <w:tcPr>
            <w:tcW w:w="1474" w:type="dxa"/>
            <w:vAlign w:val="center"/>
          </w:tcPr>
          <w:p>
            <w:pPr>
              <w:pStyle w:val="0"/>
              <w:jc w:val="center"/>
            </w:pPr>
            <w:r>
              <w:rPr>
                <w:sz w:val="20"/>
              </w:rPr>
              <w:t xml:space="preserve">413 000</w:t>
            </w:r>
          </w:p>
        </w:tc>
        <w:tc>
          <w:tcPr>
            <w:tcW w:w="1474" w:type="dxa"/>
            <w:vAlign w:val="center"/>
          </w:tcPr>
          <w:p>
            <w:pPr>
              <w:pStyle w:val="0"/>
              <w:jc w:val="center"/>
            </w:pPr>
            <w:r>
              <w:rPr>
                <w:sz w:val="20"/>
              </w:rPr>
              <w:t xml:space="preserve">219 000</w:t>
            </w:r>
          </w:p>
        </w:tc>
      </w:tr>
      <w:tr>
        <w:tc>
          <w:tcPr>
            <w:tcW w:w="680" w:type="dxa"/>
            <w:vAlign w:val="center"/>
          </w:tcPr>
          <w:bookmarkStart w:id="1163" w:name="P1163"/>
          <w:bookmarkEnd w:id="1163"/>
          <w:p>
            <w:pPr>
              <w:pStyle w:val="0"/>
              <w:jc w:val="center"/>
            </w:pPr>
            <w:r>
              <w:rPr>
                <w:sz w:val="20"/>
              </w:rPr>
              <w:t xml:space="preserve">10.1</w:t>
            </w:r>
          </w:p>
        </w:tc>
        <w:tc>
          <w:tcPr>
            <w:tcW w:w="3742" w:type="dxa"/>
            <w:vAlign w:val="center"/>
          </w:tcPr>
          <w:p>
            <w:pPr>
              <w:pStyle w:val="0"/>
            </w:pPr>
            <w:r>
              <w:rPr>
                <w:sz w:val="20"/>
              </w:rPr>
              <w:t xml:space="preserve">Оказание автотранспортных услуг по перевозке грузов автомобильным транспортом с грузоподъемностью до 7 тонн включительно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pPr>
              <w:pStyle w:val="0"/>
            </w:pPr>
            <w:r>
              <w:rPr>
                <w:sz w:val="20"/>
              </w:rPr>
              <w:t xml:space="preserve">на единицу автотранспортных средств</w:t>
            </w:r>
          </w:p>
        </w:tc>
        <w:tc>
          <w:tcPr>
            <w:gridSpan w:val="4"/>
            <w:tcW w:w="5896" w:type="dxa"/>
            <w:vAlign w:val="center"/>
          </w:tcPr>
          <w:p>
            <w:pPr>
              <w:pStyle w:val="0"/>
              <w:jc w:val="center"/>
            </w:pPr>
            <w:r>
              <w:rPr>
                <w:sz w:val="20"/>
              </w:rPr>
              <w:t xml:space="preserve">1 246 000</w:t>
            </w:r>
          </w:p>
        </w:tc>
      </w:tr>
      <w:tr>
        <w:tc>
          <w:tcPr>
            <w:tcW w:w="680" w:type="dxa"/>
            <w:vAlign w:val="center"/>
          </w:tcPr>
          <w:bookmarkStart w:id="1167" w:name="P1167"/>
          <w:bookmarkEnd w:id="1167"/>
          <w:p>
            <w:pPr>
              <w:pStyle w:val="0"/>
              <w:jc w:val="center"/>
            </w:pPr>
            <w:r>
              <w:rPr>
                <w:sz w:val="20"/>
              </w:rPr>
              <w:t xml:space="preserve">10.2</w:t>
            </w:r>
          </w:p>
        </w:tc>
        <w:tc>
          <w:tcPr>
            <w:tcW w:w="3742" w:type="dxa"/>
            <w:vAlign w:val="center"/>
          </w:tcPr>
          <w:p>
            <w:pPr>
              <w:pStyle w:val="0"/>
            </w:pPr>
            <w:r>
              <w:rPr>
                <w:sz w:val="20"/>
              </w:rPr>
              <w:t xml:space="preserve">Оказание автотранспортных услуг по перевозке грузов автомобильным транспортом с грузоподъемностью свыше 7 тонн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pPr>
              <w:pStyle w:val="0"/>
            </w:pPr>
            <w:r>
              <w:rPr>
                <w:sz w:val="20"/>
              </w:rPr>
              <w:t xml:space="preserve">на 1 тонну грузоподъемности</w:t>
            </w:r>
          </w:p>
        </w:tc>
        <w:tc>
          <w:tcPr>
            <w:gridSpan w:val="4"/>
            <w:tcW w:w="5896" w:type="dxa"/>
            <w:vAlign w:val="center"/>
          </w:tcPr>
          <w:p>
            <w:pPr>
              <w:pStyle w:val="0"/>
              <w:jc w:val="center"/>
            </w:pPr>
            <w:r>
              <w:rPr>
                <w:sz w:val="20"/>
              </w:rPr>
              <w:t xml:space="preserve">178 000</w:t>
            </w:r>
          </w:p>
        </w:tc>
      </w:tr>
      <w:tr>
        <w:tc>
          <w:tcPr>
            <w:tcW w:w="680" w:type="dxa"/>
            <w:vAlign w:val="center"/>
          </w:tcPr>
          <w:p>
            <w:pPr>
              <w:pStyle w:val="0"/>
              <w:jc w:val="center"/>
            </w:pPr>
            <w:r>
              <w:rPr>
                <w:sz w:val="20"/>
              </w:rPr>
              <w:t xml:space="preserve">11</w:t>
            </w:r>
          </w:p>
        </w:tc>
        <w:tc>
          <w:tcPr>
            <w:tcW w:w="3742" w:type="dxa"/>
            <w:vAlign w:val="center"/>
          </w:tcPr>
          <w:p>
            <w:pPr>
              <w:pStyle w:val="0"/>
            </w:pPr>
            <w:r>
              <w:rPr>
                <w:sz w:val="20"/>
              </w:rP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3288" w:type="dxa"/>
            <w:vAlign w:val="center"/>
          </w:tcPr>
          <w:p>
            <w:pPr>
              <w:pStyle w:val="0"/>
            </w:pPr>
            <w:r>
              <w:rPr>
                <w:sz w:val="20"/>
              </w:rPr>
            </w:r>
          </w:p>
        </w:tc>
        <w:tc>
          <w:tcPr>
            <w:gridSpan w:val="4"/>
            <w:tcW w:w="5896" w:type="dxa"/>
            <w:vAlign w:val="center"/>
          </w:tcPr>
          <w:p>
            <w:pPr>
              <w:pStyle w:val="0"/>
            </w:pPr>
            <w:r>
              <w:rPr>
                <w:sz w:val="20"/>
              </w:rPr>
            </w:r>
          </w:p>
        </w:tc>
      </w:tr>
      <w:tr>
        <w:tc>
          <w:tcPr>
            <w:tcW w:w="680" w:type="dxa"/>
            <w:vAlign w:val="center"/>
          </w:tcPr>
          <w:bookmarkStart w:id="1175" w:name="P1175"/>
          <w:bookmarkEnd w:id="1175"/>
          <w:p>
            <w:pPr>
              <w:pStyle w:val="0"/>
              <w:jc w:val="center"/>
            </w:pPr>
            <w:r>
              <w:rPr>
                <w:sz w:val="20"/>
              </w:rPr>
              <w:t xml:space="preserve">11.1</w:t>
            </w:r>
          </w:p>
        </w:tc>
        <w:tc>
          <w:tcPr>
            <w:tcW w:w="3742" w:type="dxa"/>
            <w:vAlign w:val="center"/>
          </w:tcPr>
          <w:p>
            <w:pPr>
              <w:pStyle w:val="0"/>
            </w:pPr>
            <w:r>
              <w:rPr>
                <w:sz w:val="20"/>
              </w:rPr>
              <w:t xml:space="preserve">Деятельность автобусного транспорта по регулярным внутригородским и пригородным пассажирским перевозкам</w:t>
            </w:r>
          </w:p>
        </w:tc>
        <w:tc>
          <w:tcPr>
            <w:tcW w:w="3288" w:type="dxa"/>
            <w:vAlign w:val="center"/>
          </w:tcPr>
          <w:p>
            <w:pPr>
              <w:pStyle w:val="0"/>
            </w:pPr>
            <w:r>
              <w:rPr>
                <w:sz w:val="20"/>
              </w:rPr>
              <w:t xml:space="preserve">на одно пассажирское место</w:t>
            </w:r>
          </w:p>
        </w:tc>
        <w:tc>
          <w:tcPr>
            <w:gridSpan w:val="4"/>
            <w:tcW w:w="5896" w:type="dxa"/>
            <w:vAlign w:val="center"/>
          </w:tcPr>
          <w:p>
            <w:pPr>
              <w:pStyle w:val="0"/>
              <w:jc w:val="center"/>
            </w:pPr>
            <w:r>
              <w:rPr>
                <w:sz w:val="20"/>
              </w:rPr>
              <w:t xml:space="preserve">161 000</w:t>
            </w:r>
          </w:p>
        </w:tc>
      </w:tr>
      <w:tr>
        <w:tc>
          <w:tcPr>
            <w:tcW w:w="680" w:type="dxa"/>
            <w:vAlign w:val="center"/>
          </w:tcPr>
          <w:p>
            <w:pPr>
              <w:pStyle w:val="0"/>
              <w:jc w:val="center"/>
            </w:pPr>
            <w:r>
              <w:rPr>
                <w:sz w:val="20"/>
              </w:rPr>
              <w:t xml:space="preserve">11.2</w:t>
            </w:r>
          </w:p>
        </w:tc>
        <w:tc>
          <w:tcPr>
            <w:tcW w:w="3742" w:type="dxa"/>
            <w:vAlign w:val="center"/>
          </w:tcPr>
          <w:p>
            <w:pPr>
              <w:pStyle w:val="0"/>
            </w:pPr>
            <w:r>
              <w:rPr>
                <w:sz w:val="20"/>
              </w:rPr>
              <w:t xml:space="preserve">Перевозки автомобильным (автобусным) пассажирским транспортом в междугородном сообщении по расписанию</w:t>
            </w:r>
          </w:p>
        </w:tc>
        <w:tc>
          <w:tcPr>
            <w:tcW w:w="3288" w:type="dxa"/>
            <w:vAlign w:val="center"/>
          </w:tcPr>
          <w:p>
            <w:pPr>
              <w:pStyle w:val="0"/>
            </w:pPr>
            <w:r>
              <w:rPr>
                <w:sz w:val="20"/>
              </w:rPr>
              <w:t xml:space="preserve">на одно пассажирское место</w:t>
            </w:r>
          </w:p>
        </w:tc>
        <w:tc>
          <w:tcPr>
            <w:gridSpan w:val="4"/>
            <w:tcW w:w="5896" w:type="dxa"/>
            <w:vAlign w:val="center"/>
          </w:tcPr>
          <w:p>
            <w:pPr>
              <w:pStyle w:val="0"/>
              <w:jc w:val="center"/>
            </w:pPr>
            <w:r>
              <w:rPr>
                <w:sz w:val="20"/>
              </w:rPr>
              <w:t xml:space="preserve">385 000</w:t>
            </w:r>
          </w:p>
        </w:tc>
      </w:tr>
      <w:tr>
        <w:tc>
          <w:tcPr>
            <w:tcW w:w="680" w:type="dxa"/>
            <w:vAlign w:val="center"/>
          </w:tcPr>
          <w:bookmarkStart w:id="1183" w:name="P1183"/>
          <w:bookmarkEnd w:id="1183"/>
          <w:p>
            <w:pPr>
              <w:pStyle w:val="0"/>
              <w:jc w:val="center"/>
            </w:pPr>
            <w:r>
              <w:rPr>
                <w:sz w:val="20"/>
              </w:rPr>
              <w:t xml:space="preserve">11.3</w:t>
            </w:r>
          </w:p>
        </w:tc>
        <w:tc>
          <w:tcPr>
            <w:tcW w:w="3742" w:type="dxa"/>
            <w:vAlign w:val="center"/>
          </w:tcPr>
          <w:p>
            <w:pPr>
              <w:pStyle w:val="0"/>
            </w:pPr>
            <w:r>
              <w:rPr>
                <w:sz w:val="20"/>
              </w:rPr>
              <w:t xml:space="preserve">Перевозки автомобильным (автобусным) пассажирским транспортом в международном сообщении по расписанию</w:t>
            </w:r>
          </w:p>
        </w:tc>
        <w:tc>
          <w:tcPr>
            <w:tcW w:w="3288" w:type="dxa"/>
            <w:vAlign w:val="center"/>
          </w:tcPr>
          <w:p>
            <w:pPr>
              <w:pStyle w:val="0"/>
            </w:pPr>
            <w:r>
              <w:rPr>
                <w:sz w:val="20"/>
              </w:rPr>
              <w:t xml:space="preserve">на одно пассажирское место</w:t>
            </w:r>
          </w:p>
        </w:tc>
        <w:tc>
          <w:tcPr>
            <w:gridSpan w:val="4"/>
            <w:tcW w:w="5896" w:type="dxa"/>
            <w:vAlign w:val="center"/>
          </w:tcPr>
          <w:p>
            <w:pPr>
              <w:pStyle w:val="0"/>
              <w:jc w:val="center"/>
            </w:pPr>
            <w:r>
              <w:rPr>
                <w:sz w:val="20"/>
              </w:rPr>
              <w:t xml:space="preserve">371 000</w:t>
            </w:r>
          </w:p>
        </w:tc>
      </w:tr>
      <w:tr>
        <w:tc>
          <w:tcPr>
            <w:tcW w:w="680" w:type="dxa"/>
            <w:vAlign w:val="center"/>
          </w:tcPr>
          <w:bookmarkStart w:id="1187" w:name="P1187"/>
          <w:bookmarkEnd w:id="1187"/>
          <w:p>
            <w:pPr>
              <w:pStyle w:val="0"/>
              <w:jc w:val="center"/>
            </w:pPr>
            <w:r>
              <w:rPr>
                <w:sz w:val="20"/>
              </w:rPr>
              <w:t xml:space="preserve">11.4</w:t>
            </w:r>
          </w:p>
        </w:tc>
        <w:tc>
          <w:tcPr>
            <w:tcW w:w="3742" w:type="dxa"/>
            <w:vAlign w:val="center"/>
          </w:tcPr>
          <w:p>
            <w:pPr>
              <w:pStyle w:val="0"/>
            </w:pPr>
            <w:r>
              <w:rPr>
                <w:sz w:val="20"/>
              </w:rPr>
              <w:t xml:space="preserve">Деятельность такси</w:t>
            </w:r>
          </w:p>
        </w:tc>
        <w:tc>
          <w:tcPr>
            <w:tcW w:w="3288" w:type="dxa"/>
            <w:vAlign w:val="center"/>
          </w:tcPr>
          <w:p>
            <w:pPr>
              <w:pStyle w:val="0"/>
            </w:pPr>
            <w:r>
              <w:rPr>
                <w:sz w:val="20"/>
              </w:rPr>
              <w:t xml:space="preserve">на единицу автотранспортных средств</w:t>
            </w:r>
          </w:p>
        </w:tc>
        <w:tc>
          <w:tcPr>
            <w:gridSpan w:val="4"/>
            <w:tcW w:w="5896" w:type="dxa"/>
            <w:vAlign w:val="center"/>
          </w:tcPr>
          <w:p>
            <w:pPr>
              <w:pStyle w:val="0"/>
              <w:jc w:val="center"/>
            </w:pPr>
            <w:r>
              <w:rPr>
                <w:sz w:val="20"/>
              </w:rPr>
              <w:t xml:space="preserve">333 000</w:t>
            </w:r>
          </w:p>
        </w:tc>
      </w:tr>
      <w:tr>
        <w:tc>
          <w:tcPr>
            <w:tcW w:w="680" w:type="dxa"/>
            <w:vAlign w:val="center"/>
            <w:vMerge w:val="restart"/>
          </w:tcPr>
          <w:bookmarkStart w:id="1191" w:name="P1191"/>
          <w:bookmarkEnd w:id="1191"/>
          <w:p>
            <w:pPr>
              <w:pStyle w:val="0"/>
              <w:jc w:val="center"/>
            </w:pPr>
            <w:r>
              <w:rPr>
                <w:sz w:val="20"/>
              </w:rPr>
              <w:t xml:space="preserve">12</w:t>
            </w:r>
          </w:p>
        </w:tc>
        <w:tc>
          <w:tcPr>
            <w:tcW w:w="3742" w:type="dxa"/>
            <w:vAlign w:val="center"/>
            <w:vMerge w:val="restart"/>
          </w:tcPr>
          <w:p>
            <w:pPr>
              <w:pStyle w:val="0"/>
            </w:pPr>
            <w:r>
              <w:rPr>
                <w:sz w:val="20"/>
              </w:rPr>
              <w:t xml:space="preserve">Реконструкция или ремонт существующих жилых и нежилых зданий, а также спортивных сооружений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13</w:t>
            </w:r>
          </w:p>
        </w:tc>
        <w:tc>
          <w:tcPr>
            <w:tcW w:w="3742" w:type="dxa"/>
            <w:vAlign w:val="center"/>
            <w:vMerge w:val="restart"/>
          </w:tcPr>
          <w:p>
            <w:pPr>
              <w:pStyle w:val="0"/>
            </w:pPr>
            <w:r>
              <w:rPr>
                <w:sz w:val="20"/>
              </w:rPr>
              <w:t xml:space="preserve">Услуги по производству монтажных, электромонтажных, санитарно-технических и сварочных работ</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14</w:t>
            </w:r>
          </w:p>
        </w:tc>
        <w:tc>
          <w:tcPr>
            <w:tcW w:w="3742" w:type="dxa"/>
            <w:vAlign w:val="center"/>
            <w:vMerge w:val="restart"/>
          </w:tcPr>
          <w:p>
            <w:pPr>
              <w:pStyle w:val="0"/>
            </w:pPr>
            <w:r>
              <w:rPr>
                <w:sz w:val="20"/>
              </w:rPr>
              <w:t xml:space="preserve">Услуги по остеклению балконов и лоджий, нарезке стекла и зеркал, художественной обработке стекла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15</w:t>
            </w:r>
          </w:p>
        </w:tc>
        <w:tc>
          <w:tcPr>
            <w:tcW w:w="3742" w:type="dxa"/>
            <w:vAlign w:val="center"/>
            <w:vMerge w:val="restart"/>
          </w:tcPr>
          <w:p>
            <w:pPr>
              <w:pStyle w:val="0"/>
            </w:pPr>
            <w:r>
              <w:rPr>
                <w:sz w:val="20"/>
              </w:rPr>
              <w:t xml:space="preserve">Услуги в сфере дошкольного образования и дополнительного образования детей и взрослых</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1 124 000</w:t>
            </w:r>
          </w:p>
        </w:tc>
        <w:tc>
          <w:tcPr>
            <w:tcW w:w="1474" w:type="dxa"/>
            <w:vAlign w:val="center"/>
          </w:tcPr>
          <w:p>
            <w:pPr>
              <w:pStyle w:val="0"/>
              <w:jc w:val="center"/>
            </w:pPr>
            <w:r>
              <w:rPr>
                <w:sz w:val="20"/>
              </w:rPr>
              <w:t xml:space="preserve">1 084 400</w:t>
            </w:r>
          </w:p>
        </w:tc>
        <w:tc>
          <w:tcPr>
            <w:tcW w:w="1474" w:type="dxa"/>
            <w:vAlign w:val="center"/>
          </w:tcPr>
          <w:p>
            <w:pPr>
              <w:pStyle w:val="0"/>
              <w:jc w:val="center"/>
            </w:pPr>
            <w:r>
              <w:rPr>
                <w:sz w:val="20"/>
              </w:rPr>
              <w:t xml:space="preserve">1 011 800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322 000</w:t>
            </w:r>
          </w:p>
        </w:tc>
        <w:tc>
          <w:tcPr>
            <w:tcW w:w="1474" w:type="dxa"/>
            <w:vAlign w:val="center"/>
          </w:tcPr>
          <w:p>
            <w:pPr>
              <w:pStyle w:val="0"/>
              <w:jc w:val="center"/>
            </w:pPr>
            <w:r>
              <w:rPr>
                <w:sz w:val="20"/>
              </w:rPr>
              <w:t xml:space="preserve">256 000</w:t>
            </w:r>
          </w:p>
        </w:tc>
        <w:tc>
          <w:tcPr>
            <w:tcW w:w="1474" w:type="dxa"/>
            <w:vAlign w:val="center"/>
          </w:tcPr>
          <w:p>
            <w:pPr>
              <w:pStyle w:val="0"/>
              <w:jc w:val="center"/>
            </w:pPr>
            <w:r>
              <w:rPr>
                <w:sz w:val="20"/>
              </w:rPr>
              <w:t xml:space="preserve">135 000</w:t>
            </w:r>
          </w:p>
        </w:tc>
      </w:tr>
      <w:tr>
        <w:tc>
          <w:tcPr>
            <w:tcW w:w="680" w:type="dxa"/>
            <w:vAlign w:val="center"/>
            <w:vMerge w:val="restart"/>
          </w:tcPr>
          <w:p>
            <w:pPr>
              <w:pStyle w:val="0"/>
              <w:jc w:val="center"/>
            </w:pPr>
            <w:r>
              <w:rPr>
                <w:sz w:val="20"/>
              </w:rPr>
              <w:t xml:space="preserve">16</w:t>
            </w:r>
          </w:p>
        </w:tc>
        <w:tc>
          <w:tcPr>
            <w:tcW w:w="3742" w:type="dxa"/>
            <w:vAlign w:val="center"/>
            <w:vMerge w:val="restart"/>
          </w:tcPr>
          <w:p>
            <w:pPr>
              <w:pStyle w:val="0"/>
            </w:pPr>
            <w:r>
              <w:rPr>
                <w:sz w:val="20"/>
              </w:rPr>
              <w:t xml:space="preserve">Услуги по присмотру и уходу за детьми и больными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1 067 600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228 000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17</w:t>
            </w:r>
          </w:p>
        </w:tc>
        <w:tc>
          <w:tcPr>
            <w:tcW w:w="3742" w:type="dxa"/>
            <w:vAlign w:val="center"/>
            <w:vMerge w:val="restart"/>
          </w:tcPr>
          <w:p>
            <w:pPr>
              <w:pStyle w:val="0"/>
            </w:pPr>
            <w:r>
              <w:rPr>
                <w:sz w:val="20"/>
              </w:rPr>
              <w:t xml:space="preserve">Сбор тары и пригодных для вторичного использования материалов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894 800</w:t>
            </w:r>
          </w:p>
        </w:tc>
        <w:tc>
          <w:tcPr>
            <w:tcW w:w="1474" w:type="dxa"/>
            <w:vAlign w:val="center"/>
          </w:tcPr>
          <w:p>
            <w:pPr>
              <w:pStyle w:val="0"/>
              <w:jc w:val="center"/>
            </w:pPr>
            <w:r>
              <w:rPr>
                <w:sz w:val="20"/>
              </w:rPr>
              <w:t xml:space="preserve">1 028 000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209 000</w:t>
            </w:r>
          </w:p>
        </w:tc>
        <w:tc>
          <w:tcPr>
            <w:tcW w:w="1474" w:type="dxa"/>
            <w:vAlign w:val="center"/>
          </w:tcPr>
          <w:p>
            <w:pPr>
              <w:pStyle w:val="0"/>
              <w:jc w:val="center"/>
            </w:pPr>
            <w:r>
              <w:rPr>
                <w:sz w:val="20"/>
              </w:rPr>
              <w:t xml:space="preserve">162 000</w:t>
            </w:r>
          </w:p>
        </w:tc>
        <w:tc>
          <w:tcPr>
            <w:tcW w:w="1474" w:type="dxa"/>
            <w:vAlign w:val="center"/>
          </w:tcPr>
          <w:p>
            <w:pPr>
              <w:pStyle w:val="0"/>
              <w:jc w:val="center"/>
            </w:pPr>
            <w:r>
              <w:rPr>
                <w:sz w:val="20"/>
              </w:rPr>
              <w:t xml:space="preserve">88 000</w:t>
            </w:r>
          </w:p>
        </w:tc>
      </w:tr>
      <w:tr>
        <w:tc>
          <w:tcPr>
            <w:tcW w:w="680" w:type="dxa"/>
            <w:vAlign w:val="center"/>
            <w:vMerge w:val="restart"/>
          </w:tcPr>
          <w:bookmarkStart w:id="1263" w:name="P1263"/>
          <w:bookmarkEnd w:id="1263"/>
          <w:p>
            <w:pPr>
              <w:pStyle w:val="0"/>
              <w:jc w:val="center"/>
            </w:pPr>
            <w:r>
              <w:rPr>
                <w:sz w:val="20"/>
              </w:rPr>
              <w:t xml:space="preserve">18</w:t>
            </w:r>
          </w:p>
        </w:tc>
        <w:tc>
          <w:tcPr>
            <w:tcW w:w="3742" w:type="dxa"/>
            <w:vAlign w:val="center"/>
            <w:vMerge w:val="restart"/>
          </w:tcPr>
          <w:p>
            <w:pPr>
              <w:pStyle w:val="0"/>
            </w:pPr>
            <w:r>
              <w:rPr>
                <w:sz w:val="20"/>
              </w:rPr>
              <w:t xml:space="preserve">Деятельность ветеринарная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1 081 400</w:t>
            </w:r>
          </w:p>
        </w:tc>
        <w:tc>
          <w:tcPr>
            <w:tcW w:w="1474" w:type="dxa"/>
            <w:vAlign w:val="center"/>
          </w:tcPr>
          <w:p>
            <w:pPr>
              <w:pStyle w:val="0"/>
              <w:jc w:val="center"/>
            </w:pPr>
            <w:r>
              <w:rPr>
                <w:sz w:val="20"/>
              </w:rPr>
              <w:t xml:space="preserve">1 047 800</w:t>
            </w:r>
          </w:p>
        </w:tc>
        <w:tc>
          <w:tcPr>
            <w:tcW w:w="1474" w:type="dxa"/>
            <w:vAlign w:val="center"/>
          </w:tcPr>
          <w:p>
            <w:pPr>
              <w:pStyle w:val="0"/>
              <w:jc w:val="center"/>
            </w:pPr>
            <w:r>
              <w:rPr>
                <w:sz w:val="20"/>
              </w:rPr>
              <w:t xml:space="preserve">993 200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251 000</w:t>
            </w:r>
          </w:p>
        </w:tc>
        <w:tc>
          <w:tcPr>
            <w:tcW w:w="1474" w:type="dxa"/>
            <w:vAlign w:val="center"/>
          </w:tcPr>
          <w:p>
            <w:pPr>
              <w:pStyle w:val="0"/>
              <w:jc w:val="center"/>
            </w:pPr>
            <w:r>
              <w:rPr>
                <w:sz w:val="20"/>
              </w:rPr>
              <w:t xml:space="preserve">195 000</w:t>
            </w:r>
          </w:p>
        </w:tc>
        <w:tc>
          <w:tcPr>
            <w:tcW w:w="1474" w:type="dxa"/>
            <w:vAlign w:val="center"/>
          </w:tcPr>
          <w:p>
            <w:pPr>
              <w:pStyle w:val="0"/>
              <w:jc w:val="center"/>
            </w:pPr>
            <w:r>
              <w:rPr>
                <w:sz w:val="20"/>
              </w:rPr>
              <w:t xml:space="preserve">104 000</w:t>
            </w:r>
          </w:p>
        </w:tc>
      </w:tr>
      <w:tr>
        <w:tc>
          <w:tcPr>
            <w:tcW w:w="680" w:type="dxa"/>
            <w:vAlign w:val="center"/>
          </w:tcPr>
          <w:p>
            <w:pPr>
              <w:pStyle w:val="0"/>
              <w:jc w:val="center"/>
            </w:pPr>
            <w:r>
              <w:rPr>
                <w:sz w:val="20"/>
              </w:rPr>
              <w:t xml:space="preserve">19</w:t>
            </w:r>
          </w:p>
        </w:tc>
        <w:tc>
          <w:tcPr>
            <w:tcW w:w="3742" w:type="dxa"/>
            <w:vAlign w:val="center"/>
          </w:tcPr>
          <w:p>
            <w:pPr>
              <w:pStyle w:val="0"/>
            </w:pPr>
            <w:r>
              <w:rPr>
                <w:sz w:val="20"/>
              </w:rPr>
              <w:t xml:space="preserve">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3288"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r>
      <w:tr>
        <w:tc>
          <w:tcPr>
            <w:tcW w:w="680" w:type="dxa"/>
            <w:vAlign w:val="center"/>
          </w:tcPr>
          <w:bookmarkStart w:id="1282" w:name="P1282"/>
          <w:bookmarkEnd w:id="1282"/>
          <w:p>
            <w:pPr>
              <w:pStyle w:val="0"/>
              <w:jc w:val="center"/>
            </w:pPr>
            <w:r>
              <w:rPr>
                <w:sz w:val="20"/>
              </w:rPr>
              <w:t xml:space="preserve">19.1</w:t>
            </w:r>
          </w:p>
        </w:tc>
        <w:tc>
          <w:tcPr>
            <w:tcW w:w="3742" w:type="dxa"/>
            <w:vAlign w:val="center"/>
          </w:tcPr>
          <w:p>
            <w:pPr>
              <w:pStyle w:val="0"/>
            </w:pPr>
            <w:r>
              <w:rPr>
                <w:sz w:val="20"/>
              </w:rPr>
              <w:t xml:space="preserve">Сдача в аренду (наем) собственных или арендованных жилых помещений</w:t>
            </w:r>
          </w:p>
        </w:tc>
        <w:tc>
          <w:tcPr>
            <w:tcW w:w="3288" w:type="dxa"/>
            <w:vAlign w:val="center"/>
          </w:tcPr>
          <w:p>
            <w:pPr>
              <w:pStyle w:val="0"/>
            </w:pPr>
            <w:r>
              <w:rPr>
                <w:sz w:val="20"/>
              </w:rPr>
              <w:t xml:space="preserve">на 1 квадратный метр площади</w:t>
            </w:r>
          </w:p>
        </w:tc>
        <w:tc>
          <w:tcPr>
            <w:tcW w:w="1474" w:type="dxa"/>
            <w:vAlign w:val="center"/>
          </w:tcPr>
          <w:p>
            <w:pPr>
              <w:pStyle w:val="0"/>
              <w:jc w:val="center"/>
            </w:pPr>
            <w:r>
              <w:rPr>
                <w:sz w:val="20"/>
              </w:rPr>
              <w:t xml:space="preserve">8 600</w:t>
            </w:r>
          </w:p>
        </w:tc>
        <w:tc>
          <w:tcPr>
            <w:tcW w:w="1474" w:type="dxa"/>
            <w:vAlign w:val="center"/>
          </w:tcPr>
          <w:p>
            <w:pPr>
              <w:pStyle w:val="0"/>
              <w:jc w:val="center"/>
            </w:pPr>
            <w:r>
              <w:rPr>
                <w:sz w:val="20"/>
              </w:rPr>
              <w:t xml:space="preserve">7 500</w:t>
            </w:r>
          </w:p>
        </w:tc>
        <w:tc>
          <w:tcPr>
            <w:tcW w:w="1474" w:type="dxa"/>
            <w:vAlign w:val="center"/>
          </w:tcPr>
          <w:p>
            <w:pPr>
              <w:pStyle w:val="0"/>
              <w:jc w:val="center"/>
            </w:pPr>
            <w:r>
              <w:rPr>
                <w:sz w:val="20"/>
              </w:rPr>
              <w:t xml:space="preserve">6 000</w:t>
            </w:r>
          </w:p>
        </w:tc>
        <w:tc>
          <w:tcPr>
            <w:tcW w:w="1474" w:type="dxa"/>
            <w:vAlign w:val="center"/>
          </w:tcPr>
          <w:p>
            <w:pPr>
              <w:pStyle w:val="0"/>
              <w:jc w:val="center"/>
            </w:pPr>
            <w:r>
              <w:rPr>
                <w:sz w:val="20"/>
              </w:rPr>
              <w:t xml:space="preserve">3 300</w:t>
            </w:r>
          </w:p>
        </w:tc>
      </w:tr>
      <w:tr>
        <w:tc>
          <w:tcPr>
            <w:tcW w:w="680" w:type="dxa"/>
            <w:vAlign w:val="center"/>
          </w:tcPr>
          <w:bookmarkStart w:id="1289" w:name="P1289"/>
          <w:bookmarkEnd w:id="1289"/>
          <w:p>
            <w:pPr>
              <w:pStyle w:val="0"/>
              <w:jc w:val="center"/>
            </w:pPr>
            <w:r>
              <w:rPr>
                <w:sz w:val="20"/>
              </w:rPr>
              <w:t xml:space="preserve">19.2</w:t>
            </w:r>
          </w:p>
        </w:tc>
        <w:tc>
          <w:tcPr>
            <w:tcW w:w="3742" w:type="dxa"/>
            <w:vAlign w:val="center"/>
          </w:tcPr>
          <w:p>
            <w:pPr>
              <w:pStyle w:val="0"/>
            </w:pPr>
            <w:r>
              <w:rPr>
                <w:sz w:val="20"/>
              </w:rPr>
              <w:t xml:space="preserve">Сдача в аренду собственных или арендованных нежилых помещений (включая выставочные залы, складские помещения) с площадью помещения, сдаваемого в аренду, до 75 метров квадратных включительно</w:t>
            </w:r>
          </w:p>
        </w:tc>
        <w:tc>
          <w:tcPr>
            <w:tcW w:w="3288" w:type="dxa"/>
            <w:vAlign w:val="center"/>
          </w:tcPr>
          <w:p>
            <w:pPr>
              <w:pStyle w:val="0"/>
            </w:pPr>
            <w:r>
              <w:rPr>
                <w:sz w:val="20"/>
              </w:rPr>
              <w:t xml:space="preserve">на один объект нежилого помещения</w:t>
            </w:r>
          </w:p>
        </w:tc>
        <w:tc>
          <w:tcPr>
            <w:tcW w:w="1474" w:type="dxa"/>
            <w:vAlign w:val="center"/>
          </w:tcPr>
          <w:p>
            <w:pPr>
              <w:pStyle w:val="0"/>
              <w:jc w:val="center"/>
            </w:pPr>
            <w:r>
              <w:rPr>
                <w:sz w:val="20"/>
              </w:rPr>
              <w:t xml:space="preserve">1 072 500</w:t>
            </w:r>
          </w:p>
        </w:tc>
        <w:tc>
          <w:tcPr>
            <w:tcW w:w="1474" w:type="dxa"/>
            <w:vAlign w:val="center"/>
          </w:tcPr>
          <w:p>
            <w:pPr>
              <w:pStyle w:val="0"/>
              <w:jc w:val="center"/>
            </w:pPr>
            <w:r>
              <w:rPr>
                <w:sz w:val="20"/>
              </w:rPr>
              <w:t xml:space="preserve">922 400</w:t>
            </w:r>
          </w:p>
        </w:tc>
        <w:tc>
          <w:tcPr>
            <w:tcW w:w="1474" w:type="dxa"/>
            <w:vAlign w:val="center"/>
          </w:tcPr>
          <w:p>
            <w:pPr>
              <w:pStyle w:val="0"/>
              <w:jc w:val="center"/>
            </w:pPr>
            <w:r>
              <w:rPr>
                <w:sz w:val="20"/>
              </w:rPr>
              <w:t xml:space="preserve">729 700</w:t>
            </w:r>
          </w:p>
        </w:tc>
        <w:tc>
          <w:tcPr>
            <w:tcW w:w="1474" w:type="dxa"/>
            <w:vAlign w:val="center"/>
          </w:tcPr>
          <w:p>
            <w:pPr>
              <w:pStyle w:val="0"/>
              <w:jc w:val="center"/>
            </w:pPr>
            <w:r>
              <w:rPr>
                <w:sz w:val="20"/>
              </w:rPr>
              <w:t xml:space="preserve">386 100</w:t>
            </w:r>
          </w:p>
        </w:tc>
      </w:tr>
      <w:tr>
        <w:tc>
          <w:tcPr>
            <w:tcW w:w="680" w:type="dxa"/>
            <w:vAlign w:val="center"/>
          </w:tcPr>
          <w:bookmarkStart w:id="1296" w:name="P1296"/>
          <w:bookmarkEnd w:id="1296"/>
          <w:p>
            <w:pPr>
              <w:pStyle w:val="0"/>
              <w:jc w:val="center"/>
            </w:pPr>
            <w:r>
              <w:rPr>
                <w:sz w:val="20"/>
              </w:rPr>
              <w:t xml:space="preserve">19.3</w:t>
            </w:r>
          </w:p>
        </w:tc>
        <w:tc>
          <w:tcPr>
            <w:tcW w:w="3742" w:type="dxa"/>
            <w:vAlign w:val="center"/>
          </w:tcPr>
          <w:p>
            <w:pPr>
              <w:pStyle w:val="0"/>
            </w:pPr>
            <w:r>
              <w:rPr>
                <w:sz w:val="20"/>
              </w:rPr>
              <w:t xml:space="preserve">Сдача в аренду собственных или арендованных нежилых помещений (включая выставочные залы, складские помещения) с площадью помещения, сдаваемого в аренду, свыше 75 метров квадратных</w:t>
            </w:r>
          </w:p>
        </w:tc>
        <w:tc>
          <w:tcPr>
            <w:tcW w:w="3288" w:type="dxa"/>
            <w:vAlign w:val="center"/>
          </w:tcPr>
          <w:p>
            <w:pPr>
              <w:pStyle w:val="0"/>
            </w:pPr>
            <w:r>
              <w:rPr>
                <w:sz w:val="20"/>
              </w:rPr>
              <w:t xml:space="preserve">на 1 квадратный метр площади</w:t>
            </w:r>
          </w:p>
        </w:tc>
        <w:tc>
          <w:tcPr>
            <w:tcW w:w="1474" w:type="dxa"/>
            <w:vAlign w:val="center"/>
          </w:tcPr>
          <w:p>
            <w:pPr>
              <w:pStyle w:val="0"/>
              <w:jc w:val="center"/>
            </w:pPr>
            <w:r>
              <w:rPr>
                <w:sz w:val="20"/>
              </w:rPr>
              <w:t xml:space="preserve">14 300</w:t>
            </w:r>
          </w:p>
        </w:tc>
        <w:tc>
          <w:tcPr>
            <w:tcW w:w="1474" w:type="dxa"/>
            <w:vAlign w:val="center"/>
          </w:tcPr>
          <w:p>
            <w:pPr>
              <w:pStyle w:val="0"/>
              <w:jc w:val="center"/>
            </w:pPr>
            <w:r>
              <w:rPr>
                <w:sz w:val="20"/>
              </w:rPr>
              <w:t xml:space="preserve">12 300</w:t>
            </w:r>
          </w:p>
        </w:tc>
        <w:tc>
          <w:tcPr>
            <w:tcW w:w="1474" w:type="dxa"/>
            <w:vAlign w:val="center"/>
          </w:tcPr>
          <w:p>
            <w:pPr>
              <w:pStyle w:val="0"/>
              <w:jc w:val="center"/>
            </w:pPr>
            <w:r>
              <w:rPr>
                <w:sz w:val="20"/>
              </w:rPr>
              <w:t xml:space="preserve">9 800</w:t>
            </w:r>
          </w:p>
        </w:tc>
        <w:tc>
          <w:tcPr>
            <w:tcW w:w="1474" w:type="dxa"/>
            <w:vAlign w:val="center"/>
          </w:tcPr>
          <w:p>
            <w:pPr>
              <w:pStyle w:val="0"/>
              <w:jc w:val="center"/>
            </w:pPr>
            <w:r>
              <w:rPr>
                <w:sz w:val="20"/>
              </w:rPr>
              <w:t xml:space="preserve">5 200</w:t>
            </w:r>
          </w:p>
        </w:tc>
      </w:tr>
      <w:tr>
        <w:tc>
          <w:tcPr>
            <w:tcW w:w="680" w:type="dxa"/>
            <w:vAlign w:val="center"/>
          </w:tcPr>
          <w:bookmarkStart w:id="1303" w:name="P1303"/>
          <w:bookmarkEnd w:id="1303"/>
          <w:p>
            <w:pPr>
              <w:pStyle w:val="0"/>
              <w:jc w:val="center"/>
            </w:pPr>
            <w:r>
              <w:rPr>
                <w:sz w:val="20"/>
              </w:rPr>
              <w:t xml:space="preserve">19.4</w:t>
            </w:r>
          </w:p>
        </w:tc>
        <w:tc>
          <w:tcPr>
            <w:tcW w:w="3742" w:type="dxa"/>
            <w:vAlign w:val="center"/>
          </w:tcPr>
          <w:p>
            <w:pPr>
              <w:pStyle w:val="0"/>
            </w:pPr>
            <w:r>
              <w:rPr>
                <w:sz w:val="20"/>
              </w:rPr>
              <w:t xml:space="preserve">Сдача в аренду собственных или арендованных земельных участков</w:t>
            </w:r>
          </w:p>
        </w:tc>
        <w:tc>
          <w:tcPr>
            <w:tcW w:w="3288" w:type="dxa"/>
            <w:vAlign w:val="center"/>
          </w:tcPr>
          <w:p>
            <w:pPr>
              <w:pStyle w:val="0"/>
            </w:pPr>
            <w:r>
              <w:rPr>
                <w:sz w:val="20"/>
              </w:rPr>
              <w:t xml:space="preserve">на 1 квадратный метр площади</w:t>
            </w:r>
          </w:p>
        </w:tc>
        <w:tc>
          <w:tcPr>
            <w:tcW w:w="1474" w:type="dxa"/>
            <w:vAlign w:val="center"/>
          </w:tcPr>
          <w:p>
            <w:pPr>
              <w:pStyle w:val="0"/>
              <w:jc w:val="center"/>
            </w:pPr>
            <w:r>
              <w:rPr>
                <w:sz w:val="20"/>
              </w:rPr>
              <w:t xml:space="preserve">9 000</w:t>
            </w:r>
          </w:p>
        </w:tc>
        <w:tc>
          <w:tcPr>
            <w:tcW w:w="1474" w:type="dxa"/>
            <w:vAlign w:val="center"/>
          </w:tcPr>
          <w:p>
            <w:pPr>
              <w:pStyle w:val="0"/>
              <w:jc w:val="center"/>
            </w:pPr>
            <w:r>
              <w:rPr>
                <w:sz w:val="20"/>
              </w:rPr>
              <w:t xml:space="preserve">7 800</w:t>
            </w:r>
          </w:p>
        </w:tc>
        <w:tc>
          <w:tcPr>
            <w:tcW w:w="1474" w:type="dxa"/>
            <w:vAlign w:val="center"/>
          </w:tcPr>
          <w:p>
            <w:pPr>
              <w:pStyle w:val="0"/>
              <w:jc w:val="center"/>
            </w:pPr>
            <w:r>
              <w:rPr>
                <w:sz w:val="20"/>
              </w:rPr>
              <w:t xml:space="preserve">6 300</w:t>
            </w:r>
          </w:p>
        </w:tc>
        <w:tc>
          <w:tcPr>
            <w:tcW w:w="1474" w:type="dxa"/>
            <w:vAlign w:val="center"/>
          </w:tcPr>
          <w:p>
            <w:pPr>
              <w:pStyle w:val="0"/>
              <w:jc w:val="center"/>
            </w:pPr>
            <w:r>
              <w:rPr>
                <w:sz w:val="20"/>
              </w:rPr>
              <w:t xml:space="preserve">3 400</w:t>
            </w:r>
          </w:p>
        </w:tc>
      </w:tr>
      <w:tr>
        <w:tc>
          <w:tcPr>
            <w:tcW w:w="680" w:type="dxa"/>
            <w:vAlign w:val="center"/>
            <w:vMerge w:val="restart"/>
          </w:tcPr>
          <w:bookmarkStart w:id="1310" w:name="P1310"/>
          <w:bookmarkEnd w:id="1310"/>
          <w:p>
            <w:pPr>
              <w:pStyle w:val="0"/>
              <w:jc w:val="center"/>
            </w:pPr>
            <w:r>
              <w:rPr>
                <w:sz w:val="20"/>
              </w:rPr>
              <w:t xml:space="preserve">20</w:t>
            </w:r>
          </w:p>
        </w:tc>
        <w:tc>
          <w:tcPr>
            <w:tcW w:w="3742" w:type="dxa"/>
            <w:vAlign w:val="center"/>
            <w:vMerge w:val="restart"/>
          </w:tcPr>
          <w:p>
            <w:pPr>
              <w:pStyle w:val="0"/>
            </w:pPr>
            <w:r>
              <w:rPr>
                <w:sz w:val="20"/>
              </w:rPr>
              <w:t xml:space="preserve">Изготовление изделий народных художественных промыслов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21</w:t>
            </w:r>
          </w:p>
        </w:tc>
        <w:tc>
          <w:tcPr>
            <w:tcW w:w="3742" w:type="dxa"/>
            <w:vAlign w:val="center"/>
            <w:vMerge w:val="restart"/>
          </w:tcPr>
          <w:p>
            <w:pPr>
              <w:pStyle w:val="0"/>
            </w:pPr>
            <w:r>
              <w:rPr>
                <w:sz w:val="20"/>
              </w:rPr>
              <w:t xml:space="preserve">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22</w:t>
            </w:r>
          </w:p>
        </w:tc>
        <w:tc>
          <w:tcPr>
            <w:tcW w:w="3742" w:type="dxa"/>
            <w:vAlign w:val="center"/>
            <w:vMerge w:val="restart"/>
          </w:tcPr>
          <w:p>
            <w:pPr>
              <w:pStyle w:val="0"/>
            </w:pPr>
            <w:r>
              <w:rPr>
                <w:sz w:val="20"/>
              </w:rPr>
              <w:t xml:space="preserve">Производство и реставрация ковров и ковровых изделий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23</w:t>
            </w:r>
          </w:p>
        </w:tc>
        <w:tc>
          <w:tcPr>
            <w:tcW w:w="3742" w:type="dxa"/>
            <w:vAlign w:val="center"/>
            <w:vMerge w:val="restart"/>
          </w:tcPr>
          <w:p>
            <w:pPr>
              <w:pStyle w:val="0"/>
            </w:pPr>
            <w:r>
              <w:rPr>
                <w:sz w:val="20"/>
              </w:rPr>
              <w:t xml:space="preserve">Ремонт ювелирных изделий, бижутерии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24</w:t>
            </w:r>
          </w:p>
        </w:tc>
        <w:tc>
          <w:tcPr>
            <w:tcW w:w="3742" w:type="dxa"/>
            <w:vAlign w:val="center"/>
            <w:vMerge w:val="restart"/>
          </w:tcPr>
          <w:p>
            <w:pPr>
              <w:pStyle w:val="0"/>
            </w:pPr>
            <w:r>
              <w:rPr>
                <w:sz w:val="20"/>
              </w:rPr>
              <w:t xml:space="preserve">Чеканка и гравировка ювелирных изделий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25</w:t>
            </w:r>
          </w:p>
        </w:tc>
        <w:tc>
          <w:tcPr>
            <w:tcW w:w="3742" w:type="dxa"/>
            <w:vAlign w:val="center"/>
            <w:vMerge w:val="restart"/>
          </w:tcPr>
          <w:p>
            <w:pPr>
              <w:pStyle w:val="0"/>
            </w:pPr>
            <w:r>
              <w:rPr>
                <w:sz w:val="20"/>
              </w:rPr>
              <w:t xml:space="preserve">Деятельность в области звукозаписи и издания музыкальных произведений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1 156 400</w:t>
            </w:r>
          </w:p>
        </w:tc>
        <w:tc>
          <w:tcPr>
            <w:tcW w:w="1474" w:type="dxa"/>
            <w:vAlign w:val="center"/>
          </w:tcPr>
          <w:p>
            <w:pPr>
              <w:pStyle w:val="0"/>
              <w:jc w:val="center"/>
            </w:pPr>
            <w:r>
              <w:rPr>
                <w:sz w:val="20"/>
              </w:rPr>
              <w:t xml:space="preserve">1 124 600</w:t>
            </w:r>
          </w:p>
        </w:tc>
        <w:tc>
          <w:tcPr>
            <w:tcW w:w="1474" w:type="dxa"/>
            <w:vAlign w:val="center"/>
          </w:tcPr>
          <w:p>
            <w:pPr>
              <w:pStyle w:val="0"/>
              <w:jc w:val="center"/>
            </w:pPr>
            <w:r>
              <w:rPr>
                <w:sz w:val="20"/>
              </w:rPr>
              <w:t xml:space="preserve">1 084 400</w:t>
            </w:r>
          </w:p>
        </w:tc>
        <w:tc>
          <w:tcPr>
            <w:tcW w:w="1474" w:type="dxa"/>
            <w:vAlign w:val="center"/>
          </w:tcPr>
          <w:p>
            <w:pPr>
              <w:pStyle w:val="0"/>
              <w:jc w:val="center"/>
            </w:pPr>
            <w:r>
              <w:rPr>
                <w:sz w:val="20"/>
              </w:rPr>
              <w:t xml:space="preserve">1 011 800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376 000</w:t>
            </w:r>
          </w:p>
        </w:tc>
        <w:tc>
          <w:tcPr>
            <w:tcW w:w="1474" w:type="dxa"/>
            <w:vAlign w:val="center"/>
          </w:tcPr>
          <w:p>
            <w:pPr>
              <w:pStyle w:val="0"/>
              <w:jc w:val="center"/>
            </w:pPr>
            <w:r>
              <w:rPr>
                <w:sz w:val="20"/>
              </w:rPr>
              <w:t xml:space="preserve">323 000</w:t>
            </w:r>
          </w:p>
        </w:tc>
        <w:tc>
          <w:tcPr>
            <w:tcW w:w="1474" w:type="dxa"/>
            <w:vAlign w:val="center"/>
          </w:tcPr>
          <w:p>
            <w:pPr>
              <w:pStyle w:val="0"/>
              <w:jc w:val="center"/>
            </w:pPr>
            <w:r>
              <w:rPr>
                <w:sz w:val="20"/>
              </w:rPr>
              <w:t xml:space="preserve">256 000</w:t>
            </w:r>
          </w:p>
        </w:tc>
        <w:tc>
          <w:tcPr>
            <w:tcW w:w="1474" w:type="dxa"/>
            <w:vAlign w:val="center"/>
          </w:tcPr>
          <w:p>
            <w:pPr>
              <w:pStyle w:val="0"/>
              <w:jc w:val="center"/>
            </w:pPr>
            <w:r>
              <w:rPr>
                <w:sz w:val="20"/>
              </w:rPr>
              <w:t xml:space="preserve">135 000</w:t>
            </w:r>
          </w:p>
        </w:tc>
      </w:tr>
      <w:tr>
        <w:tc>
          <w:tcPr>
            <w:tcW w:w="680" w:type="dxa"/>
            <w:vAlign w:val="center"/>
            <w:vMerge w:val="restart"/>
          </w:tcPr>
          <w:p>
            <w:pPr>
              <w:pStyle w:val="0"/>
              <w:jc w:val="center"/>
            </w:pPr>
            <w:r>
              <w:rPr>
                <w:sz w:val="20"/>
              </w:rPr>
              <w:t xml:space="preserve">26</w:t>
            </w:r>
          </w:p>
        </w:tc>
        <w:tc>
          <w:tcPr>
            <w:tcW w:w="3742" w:type="dxa"/>
            <w:vAlign w:val="center"/>
            <w:vMerge w:val="restart"/>
          </w:tcPr>
          <w:p>
            <w:pPr>
              <w:pStyle w:val="0"/>
            </w:pPr>
            <w:r>
              <w:rPr>
                <w:sz w:val="20"/>
              </w:rPr>
              <w:t xml:space="preserve">Услуги по уборке квартир и частных домов, деятельность домашних хозяйств с наемными работниками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27</w:t>
            </w:r>
          </w:p>
        </w:tc>
        <w:tc>
          <w:tcPr>
            <w:tcW w:w="3742" w:type="dxa"/>
            <w:vAlign w:val="center"/>
            <w:vMerge w:val="restart"/>
          </w:tcPr>
          <w:p>
            <w:pPr>
              <w:pStyle w:val="0"/>
            </w:pPr>
            <w:r>
              <w:rPr>
                <w:sz w:val="20"/>
              </w:rPr>
              <w:t xml:space="preserve">Деятельность, специализированная в области дизайна, услуги художественного оформления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1 274 600</w:t>
            </w:r>
          </w:p>
        </w:tc>
        <w:tc>
          <w:tcPr>
            <w:tcW w:w="1474" w:type="dxa"/>
            <w:vAlign w:val="center"/>
          </w:tcPr>
          <w:p>
            <w:pPr>
              <w:pStyle w:val="0"/>
              <w:jc w:val="center"/>
            </w:pPr>
            <w:r>
              <w:rPr>
                <w:sz w:val="20"/>
              </w:rPr>
              <w:t xml:space="preserve">1 122 200</w:t>
            </w:r>
          </w:p>
        </w:tc>
        <w:tc>
          <w:tcPr>
            <w:tcW w:w="1474" w:type="dxa"/>
            <w:vAlign w:val="center"/>
          </w:tcPr>
          <w:p>
            <w:pPr>
              <w:pStyle w:val="0"/>
              <w:jc w:val="center"/>
            </w:pPr>
            <w:r>
              <w:rPr>
                <w:sz w:val="20"/>
              </w:rPr>
              <w:t xml:space="preserve">1 082 000</w:t>
            </w:r>
          </w:p>
        </w:tc>
        <w:tc>
          <w:tcPr>
            <w:tcW w:w="1474" w:type="dxa"/>
            <w:vAlign w:val="center"/>
          </w:tcPr>
          <w:p>
            <w:pPr>
              <w:pStyle w:val="0"/>
              <w:jc w:val="center"/>
            </w:pPr>
            <w:r>
              <w:rPr>
                <w:sz w:val="20"/>
              </w:rPr>
              <w:t xml:space="preserve">1 011 800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573 000</w:t>
            </w:r>
          </w:p>
        </w:tc>
        <w:tc>
          <w:tcPr>
            <w:tcW w:w="1474" w:type="dxa"/>
            <w:vAlign w:val="center"/>
          </w:tcPr>
          <w:p>
            <w:pPr>
              <w:pStyle w:val="0"/>
              <w:jc w:val="center"/>
            </w:pPr>
            <w:r>
              <w:rPr>
                <w:sz w:val="20"/>
              </w:rPr>
              <w:t xml:space="preserve">319 000</w:t>
            </w:r>
          </w:p>
        </w:tc>
        <w:tc>
          <w:tcPr>
            <w:tcW w:w="1474" w:type="dxa"/>
            <w:vAlign w:val="center"/>
          </w:tcPr>
          <w:p>
            <w:pPr>
              <w:pStyle w:val="0"/>
              <w:jc w:val="center"/>
            </w:pPr>
            <w:r>
              <w:rPr>
                <w:sz w:val="20"/>
              </w:rPr>
              <w:t xml:space="preserve">252 000</w:t>
            </w:r>
          </w:p>
        </w:tc>
        <w:tc>
          <w:tcPr>
            <w:tcW w:w="1474" w:type="dxa"/>
            <w:vAlign w:val="center"/>
          </w:tcPr>
          <w:p>
            <w:pPr>
              <w:pStyle w:val="0"/>
              <w:jc w:val="center"/>
            </w:pPr>
            <w:r>
              <w:rPr>
                <w:sz w:val="20"/>
              </w:rPr>
              <w:t xml:space="preserve">135 000</w:t>
            </w:r>
          </w:p>
        </w:tc>
      </w:tr>
      <w:tr>
        <w:tc>
          <w:tcPr>
            <w:tcW w:w="680" w:type="dxa"/>
            <w:vAlign w:val="center"/>
            <w:vMerge w:val="restart"/>
          </w:tcPr>
          <w:p>
            <w:pPr>
              <w:pStyle w:val="0"/>
              <w:jc w:val="center"/>
            </w:pPr>
            <w:r>
              <w:rPr>
                <w:sz w:val="20"/>
              </w:rPr>
              <w:t xml:space="preserve">28</w:t>
            </w:r>
          </w:p>
        </w:tc>
        <w:tc>
          <w:tcPr>
            <w:tcW w:w="3742" w:type="dxa"/>
            <w:vAlign w:val="center"/>
            <w:vMerge w:val="restart"/>
          </w:tcPr>
          <w:p>
            <w:pPr>
              <w:pStyle w:val="0"/>
            </w:pPr>
            <w:r>
              <w:rPr>
                <w:sz w:val="20"/>
              </w:rPr>
              <w:t xml:space="preserve">Проведение занятий по физической культуре и спорту</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1 132 400</w:t>
            </w:r>
          </w:p>
        </w:tc>
        <w:tc>
          <w:tcPr>
            <w:tcW w:w="1474" w:type="dxa"/>
            <w:vAlign w:val="center"/>
          </w:tcPr>
          <w:p>
            <w:pPr>
              <w:pStyle w:val="0"/>
              <w:jc w:val="center"/>
            </w:pPr>
            <w:r>
              <w:rPr>
                <w:sz w:val="20"/>
              </w:rPr>
              <w:t xml:space="preserve">1 104 200</w:t>
            </w:r>
          </w:p>
        </w:tc>
        <w:tc>
          <w:tcPr>
            <w:tcW w:w="1474" w:type="dxa"/>
            <w:vAlign w:val="center"/>
          </w:tcPr>
          <w:p>
            <w:pPr>
              <w:pStyle w:val="0"/>
              <w:jc w:val="center"/>
            </w:pPr>
            <w:r>
              <w:rPr>
                <w:sz w:val="20"/>
              </w:rPr>
              <w:t xml:space="preserve">1 068 200</w:t>
            </w:r>
          </w:p>
        </w:tc>
        <w:tc>
          <w:tcPr>
            <w:tcW w:w="1474" w:type="dxa"/>
            <w:vAlign w:val="center"/>
          </w:tcPr>
          <w:p>
            <w:pPr>
              <w:pStyle w:val="0"/>
              <w:jc w:val="center"/>
            </w:pPr>
            <w:r>
              <w:rPr>
                <w:sz w:val="20"/>
              </w:rPr>
              <w:t xml:space="preserve">1 004 000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336 000</w:t>
            </w:r>
          </w:p>
        </w:tc>
        <w:tc>
          <w:tcPr>
            <w:tcW w:w="1474" w:type="dxa"/>
            <w:vAlign w:val="center"/>
          </w:tcPr>
          <w:p>
            <w:pPr>
              <w:pStyle w:val="0"/>
              <w:jc w:val="center"/>
            </w:pPr>
            <w:r>
              <w:rPr>
                <w:sz w:val="20"/>
              </w:rPr>
              <w:t xml:space="preserve">289 000</w:t>
            </w:r>
          </w:p>
        </w:tc>
        <w:tc>
          <w:tcPr>
            <w:tcW w:w="1474" w:type="dxa"/>
            <w:vAlign w:val="center"/>
          </w:tcPr>
          <w:p>
            <w:pPr>
              <w:pStyle w:val="0"/>
              <w:jc w:val="center"/>
            </w:pPr>
            <w:r>
              <w:rPr>
                <w:sz w:val="20"/>
              </w:rPr>
              <w:t xml:space="preserve">229 000</w:t>
            </w:r>
          </w:p>
        </w:tc>
        <w:tc>
          <w:tcPr>
            <w:tcW w:w="1474" w:type="dxa"/>
            <w:vAlign w:val="center"/>
          </w:tcPr>
          <w:p>
            <w:pPr>
              <w:pStyle w:val="0"/>
              <w:jc w:val="center"/>
            </w:pPr>
            <w:r>
              <w:rPr>
                <w:sz w:val="20"/>
              </w:rPr>
              <w:t xml:space="preserve">122 000</w:t>
            </w:r>
          </w:p>
        </w:tc>
      </w:tr>
      <w:tr>
        <w:tc>
          <w:tcPr>
            <w:tcW w:w="680" w:type="dxa"/>
            <w:vAlign w:val="center"/>
            <w:vMerge w:val="restart"/>
          </w:tcPr>
          <w:p>
            <w:pPr>
              <w:pStyle w:val="0"/>
              <w:jc w:val="center"/>
            </w:pPr>
            <w:r>
              <w:rPr>
                <w:sz w:val="20"/>
              </w:rPr>
              <w:t xml:space="preserve">29</w:t>
            </w:r>
          </w:p>
        </w:tc>
        <w:tc>
          <w:tcPr>
            <w:tcW w:w="3742" w:type="dxa"/>
            <w:vAlign w:val="center"/>
            <w:vMerge w:val="restart"/>
          </w:tcPr>
          <w:p>
            <w:pPr>
              <w:pStyle w:val="0"/>
            </w:pPr>
            <w:r>
              <w:rPr>
                <w:sz w:val="20"/>
              </w:rPr>
              <w:t xml:space="preserve">Услуги носильщиков на железнодорожных вокзалах, автовокзалах, аэровокзалах, в аэропортах, морских, речных портах</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30</w:t>
            </w:r>
          </w:p>
        </w:tc>
        <w:tc>
          <w:tcPr>
            <w:tcW w:w="3742" w:type="dxa"/>
            <w:vAlign w:val="center"/>
            <w:vMerge w:val="restart"/>
          </w:tcPr>
          <w:p>
            <w:pPr>
              <w:pStyle w:val="0"/>
            </w:pPr>
            <w:r>
              <w:rPr>
                <w:sz w:val="20"/>
              </w:rPr>
              <w:t xml:space="preserve">Услуги платных туалетов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bookmarkStart w:id="1442" w:name="P1442"/>
          <w:bookmarkEnd w:id="1442"/>
          <w:p>
            <w:pPr>
              <w:pStyle w:val="0"/>
              <w:jc w:val="center"/>
            </w:pPr>
            <w:r>
              <w:rPr>
                <w:sz w:val="20"/>
              </w:rPr>
              <w:t xml:space="preserve">31</w:t>
            </w:r>
          </w:p>
        </w:tc>
        <w:tc>
          <w:tcPr>
            <w:tcW w:w="3742" w:type="dxa"/>
            <w:vAlign w:val="center"/>
            <w:vMerge w:val="restart"/>
          </w:tcPr>
          <w:p>
            <w:pPr>
              <w:pStyle w:val="0"/>
            </w:pPr>
            <w:r>
              <w:rPr>
                <w:sz w:val="20"/>
              </w:rPr>
              <w:t xml:space="preserve">Услуги по приготовлению и поставке блюд для торжественных мероприятий или иных событий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tcPr>
          <w:bookmarkStart w:id="1454" w:name="P1454"/>
          <w:bookmarkEnd w:id="1454"/>
          <w:p>
            <w:pPr>
              <w:pStyle w:val="0"/>
              <w:jc w:val="center"/>
            </w:pPr>
            <w:r>
              <w:rPr>
                <w:sz w:val="20"/>
              </w:rPr>
              <w:t xml:space="preserve">32</w:t>
            </w:r>
          </w:p>
        </w:tc>
        <w:tc>
          <w:tcPr>
            <w:tcW w:w="3742" w:type="dxa"/>
            <w:vAlign w:val="center"/>
          </w:tcPr>
          <w:p>
            <w:pPr>
              <w:pStyle w:val="0"/>
            </w:pPr>
            <w:r>
              <w:rPr>
                <w:sz w:val="20"/>
              </w:rPr>
              <w:t xml:space="preserve">Оказание услуг по перевозке пассажиров водным транспортом</w:t>
            </w:r>
          </w:p>
        </w:tc>
        <w:tc>
          <w:tcPr>
            <w:tcW w:w="3288" w:type="dxa"/>
            <w:vAlign w:val="center"/>
          </w:tcPr>
          <w:p>
            <w:pPr>
              <w:pStyle w:val="0"/>
            </w:pPr>
            <w:r>
              <w:rPr>
                <w:sz w:val="20"/>
              </w:rPr>
              <w:t xml:space="preserve">на одно пассажирское место</w:t>
            </w:r>
          </w:p>
        </w:tc>
        <w:tc>
          <w:tcPr>
            <w:gridSpan w:val="4"/>
            <w:tcW w:w="5896" w:type="dxa"/>
            <w:vAlign w:val="center"/>
          </w:tcPr>
          <w:p>
            <w:pPr>
              <w:pStyle w:val="0"/>
              <w:jc w:val="center"/>
            </w:pPr>
            <w:r>
              <w:rPr>
                <w:sz w:val="20"/>
              </w:rPr>
              <w:t xml:space="preserve">700</w:t>
            </w:r>
          </w:p>
        </w:tc>
      </w:tr>
      <w:tr>
        <w:tc>
          <w:tcPr>
            <w:tcW w:w="680" w:type="dxa"/>
            <w:vAlign w:val="center"/>
          </w:tcPr>
          <w:bookmarkStart w:id="1458" w:name="P1458"/>
          <w:bookmarkEnd w:id="1458"/>
          <w:p>
            <w:pPr>
              <w:pStyle w:val="0"/>
              <w:jc w:val="center"/>
            </w:pPr>
            <w:r>
              <w:rPr>
                <w:sz w:val="20"/>
              </w:rPr>
              <w:t xml:space="preserve">33</w:t>
            </w:r>
          </w:p>
        </w:tc>
        <w:tc>
          <w:tcPr>
            <w:tcW w:w="3742" w:type="dxa"/>
            <w:vAlign w:val="center"/>
          </w:tcPr>
          <w:p>
            <w:pPr>
              <w:pStyle w:val="0"/>
            </w:pPr>
            <w:r>
              <w:rPr>
                <w:sz w:val="20"/>
              </w:rPr>
              <w:t xml:space="preserve">Оказание услуг по перевозке грузов водным транспортом</w:t>
            </w:r>
          </w:p>
        </w:tc>
        <w:tc>
          <w:tcPr>
            <w:tcW w:w="3288" w:type="dxa"/>
            <w:vAlign w:val="center"/>
          </w:tcPr>
          <w:p>
            <w:pPr>
              <w:pStyle w:val="0"/>
            </w:pPr>
            <w:r>
              <w:rPr>
                <w:sz w:val="20"/>
              </w:rPr>
              <w:t xml:space="preserve">на 1 тонну грузоподъемности</w:t>
            </w:r>
          </w:p>
        </w:tc>
        <w:tc>
          <w:tcPr>
            <w:gridSpan w:val="4"/>
            <w:tcW w:w="5896" w:type="dxa"/>
            <w:vAlign w:val="center"/>
          </w:tcPr>
          <w:p>
            <w:pPr>
              <w:pStyle w:val="0"/>
              <w:jc w:val="center"/>
            </w:pPr>
            <w:r>
              <w:rPr>
                <w:sz w:val="20"/>
              </w:rPr>
              <w:t xml:space="preserve">7 000</w:t>
            </w:r>
          </w:p>
        </w:tc>
      </w:tr>
      <w:tr>
        <w:tc>
          <w:tcPr>
            <w:tcW w:w="680" w:type="dxa"/>
            <w:vAlign w:val="center"/>
            <w:vMerge w:val="restart"/>
          </w:tcPr>
          <w:bookmarkStart w:id="1462" w:name="P1462"/>
          <w:bookmarkEnd w:id="1462"/>
          <w:p>
            <w:pPr>
              <w:pStyle w:val="0"/>
              <w:jc w:val="center"/>
            </w:pPr>
            <w:r>
              <w:rPr>
                <w:sz w:val="20"/>
              </w:rPr>
              <w:t xml:space="preserve">34</w:t>
            </w:r>
          </w:p>
        </w:tc>
        <w:tc>
          <w:tcPr>
            <w:tcW w:w="3742" w:type="dxa"/>
            <w:vAlign w:val="center"/>
            <w:vMerge w:val="restart"/>
          </w:tcPr>
          <w:p>
            <w:pPr>
              <w:pStyle w:val="0"/>
            </w:pPr>
            <w:r>
              <w:rPr>
                <w:sz w:val="20"/>
              </w:rPr>
              <w:t xml:space="preserve">Услуги, связанные со сбытом сельскохозяйственной продукции (хранение, сортировка, сушка, мойка, расфасовка, упаковка и транспортировка)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35</w:t>
            </w:r>
          </w:p>
        </w:tc>
        <w:tc>
          <w:tcPr>
            <w:tcW w:w="3742" w:type="dxa"/>
            <w:vAlign w:val="center"/>
            <w:vMerge w:val="restart"/>
          </w:tcPr>
          <w:p>
            <w:pPr>
              <w:pStyle w:val="0"/>
            </w:pPr>
            <w:r>
              <w:rPr>
                <w:sz w:val="20"/>
              </w:rPr>
              <w:t xml:space="preserve">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1 082 000</w:t>
            </w:r>
          </w:p>
        </w:tc>
        <w:tc>
          <w:tcPr>
            <w:tcW w:w="1474" w:type="dxa"/>
            <w:vAlign w:val="center"/>
          </w:tcPr>
          <w:p>
            <w:pPr>
              <w:pStyle w:val="0"/>
              <w:jc w:val="center"/>
            </w:pPr>
            <w:r>
              <w:rPr>
                <w:sz w:val="20"/>
              </w:rPr>
              <w:t xml:space="preserve">1 062 200</w:t>
            </w:r>
          </w:p>
        </w:tc>
        <w:tc>
          <w:tcPr>
            <w:tcW w:w="1474" w:type="dxa"/>
            <w:vAlign w:val="center"/>
          </w:tcPr>
          <w:p>
            <w:pPr>
              <w:pStyle w:val="0"/>
              <w:jc w:val="center"/>
            </w:pPr>
            <w:r>
              <w:rPr>
                <w:sz w:val="20"/>
              </w:rPr>
              <w:t xml:space="preserve">1 034 000</w:t>
            </w:r>
          </w:p>
        </w:tc>
        <w:tc>
          <w:tcPr>
            <w:tcW w:w="1474" w:type="dxa"/>
            <w:vAlign w:val="center"/>
          </w:tcPr>
          <w:p>
            <w:pPr>
              <w:pStyle w:val="0"/>
              <w:jc w:val="center"/>
            </w:pPr>
            <w:r>
              <w:rPr>
                <w:sz w:val="20"/>
              </w:rPr>
              <w:t xml:space="preserve">985 400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252 000</w:t>
            </w:r>
          </w:p>
        </w:tc>
        <w:tc>
          <w:tcPr>
            <w:tcW w:w="1474" w:type="dxa"/>
            <w:vAlign w:val="center"/>
          </w:tcPr>
          <w:p>
            <w:pPr>
              <w:pStyle w:val="0"/>
              <w:jc w:val="center"/>
            </w:pPr>
            <w:r>
              <w:rPr>
                <w:sz w:val="20"/>
              </w:rPr>
              <w:t xml:space="preserve">219 000</w:t>
            </w:r>
          </w:p>
        </w:tc>
        <w:tc>
          <w:tcPr>
            <w:tcW w:w="1474" w:type="dxa"/>
            <w:vAlign w:val="center"/>
          </w:tcPr>
          <w:p>
            <w:pPr>
              <w:pStyle w:val="0"/>
              <w:jc w:val="center"/>
            </w:pPr>
            <w:r>
              <w:rPr>
                <w:sz w:val="20"/>
              </w:rPr>
              <w:t xml:space="preserve">172 000</w:t>
            </w:r>
          </w:p>
        </w:tc>
        <w:tc>
          <w:tcPr>
            <w:tcW w:w="1474" w:type="dxa"/>
            <w:vAlign w:val="center"/>
          </w:tcPr>
          <w:p>
            <w:pPr>
              <w:pStyle w:val="0"/>
              <w:jc w:val="center"/>
            </w:pPr>
            <w:r>
              <w:rPr>
                <w:sz w:val="20"/>
              </w:rPr>
              <w:t xml:space="preserve">91 000</w:t>
            </w:r>
          </w:p>
        </w:tc>
      </w:tr>
      <w:tr>
        <w:tc>
          <w:tcPr>
            <w:tcW w:w="680" w:type="dxa"/>
            <w:vAlign w:val="center"/>
            <w:vMerge w:val="restart"/>
          </w:tcPr>
          <w:p>
            <w:pPr>
              <w:pStyle w:val="0"/>
              <w:jc w:val="center"/>
            </w:pPr>
            <w:r>
              <w:rPr>
                <w:sz w:val="20"/>
              </w:rPr>
              <w:t xml:space="preserve">36</w:t>
            </w:r>
          </w:p>
        </w:tc>
        <w:tc>
          <w:tcPr>
            <w:tcW w:w="3742" w:type="dxa"/>
            <w:vAlign w:val="center"/>
            <w:vMerge w:val="restart"/>
          </w:tcPr>
          <w:p>
            <w:pPr>
              <w:pStyle w:val="0"/>
            </w:pPr>
            <w:r>
              <w:rPr>
                <w:sz w:val="20"/>
              </w:rPr>
              <w:t xml:space="preserve">Деятельность по благоустройству ландшафта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37</w:t>
            </w:r>
          </w:p>
        </w:tc>
        <w:tc>
          <w:tcPr>
            <w:tcW w:w="3742" w:type="dxa"/>
            <w:vAlign w:val="center"/>
            <w:vMerge w:val="restart"/>
          </w:tcPr>
          <w:p>
            <w:pPr>
              <w:pStyle w:val="0"/>
            </w:pPr>
            <w:r>
              <w:rPr>
                <w:sz w:val="20"/>
              </w:rPr>
              <w:t xml:space="preserve">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1 052 000</w:t>
            </w:r>
          </w:p>
        </w:tc>
        <w:tc>
          <w:tcPr>
            <w:tcW w:w="1474" w:type="dxa"/>
            <w:vAlign w:val="center"/>
          </w:tcPr>
          <w:p>
            <w:pPr>
              <w:pStyle w:val="0"/>
              <w:jc w:val="center"/>
            </w:pPr>
            <w:r>
              <w:rPr>
                <w:sz w:val="20"/>
              </w:rPr>
              <w:t xml:space="preserve">1 036 400</w:t>
            </w:r>
          </w:p>
        </w:tc>
        <w:tc>
          <w:tcPr>
            <w:tcW w:w="1474" w:type="dxa"/>
            <w:vAlign w:val="center"/>
          </w:tcPr>
          <w:p>
            <w:pPr>
              <w:pStyle w:val="0"/>
              <w:jc w:val="center"/>
            </w:pPr>
            <w:r>
              <w:rPr>
                <w:sz w:val="20"/>
              </w:rPr>
              <w:t xml:space="preserve">1 014 200</w:t>
            </w:r>
          </w:p>
        </w:tc>
        <w:tc>
          <w:tcPr>
            <w:tcW w:w="1474" w:type="dxa"/>
            <w:vAlign w:val="center"/>
          </w:tcPr>
          <w:p>
            <w:pPr>
              <w:pStyle w:val="0"/>
              <w:jc w:val="center"/>
            </w:pPr>
            <w:r>
              <w:rPr>
                <w:sz w:val="20"/>
              </w:rPr>
              <w:t xml:space="preserve">975 800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202 000</w:t>
            </w:r>
          </w:p>
        </w:tc>
        <w:tc>
          <w:tcPr>
            <w:tcW w:w="1474" w:type="dxa"/>
            <w:vAlign w:val="center"/>
          </w:tcPr>
          <w:p>
            <w:pPr>
              <w:pStyle w:val="0"/>
              <w:jc w:val="center"/>
            </w:pPr>
            <w:r>
              <w:rPr>
                <w:sz w:val="20"/>
              </w:rPr>
              <w:t xml:space="preserve">176 000</w:t>
            </w:r>
          </w:p>
        </w:tc>
        <w:tc>
          <w:tcPr>
            <w:tcW w:w="1474" w:type="dxa"/>
            <w:vAlign w:val="center"/>
          </w:tcPr>
          <w:p>
            <w:pPr>
              <w:pStyle w:val="0"/>
              <w:jc w:val="center"/>
            </w:pPr>
            <w:r>
              <w:rPr>
                <w:sz w:val="20"/>
              </w:rPr>
              <w:t xml:space="preserve">139 000</w:t>
            </w:r>
          </w:p>
        </w:tc>
        <w:tc>
          <w:tcPr>
            <w:tcW w:w="1474" w:type="dxa"/>
            <w:vAlign w:val="center"/>
          </w:tcPr>
          <w:p>
            <w:pPr>
              <w:pStyle w:val="0"/>
              <w:jc w:val="center"/>
            </w:pPr>
            <w:r>
              <w:rPr>
                <w:sz w:val="20"/>
              </w:rPr>
              <w:t xml:space="preserve">75 000</w:t>
            </w:r>
          </w:p>
        </w:tc>
      </w:tr>
      <w:tr>
        <w:tc>
          <w:tcPr>
            <w:tcW w:w="680" w:type="dxa"/>
            <w:vAlign w:val="center"/>
            <w:vMerge w:val="restart"/>
          </w:tcPr>
          <w:p>
            <w:pPr>
              <w:pStyle w:val="0"/>
              <w:jc w:val="center"/>
            </w:pPr>
            <w:r>
              <w:rPr>
                <w:sz w:val="20"/>
              </w:rPr>
              <w:t xml:space="preserve">38</w:t>
            </w:r>
          </w:p>
        </w:tc>
        <w:tc>
          <w:tcPr>
            <w:tcW w:w="3742" w:type="dxa"/>
            <w:vAlign w:val="center"/>
            <w:vMerge w:val="restart"/>
          </w:tcPr>
          <w:p>
            <w:pPr>
              <w:pStyle w:val="0"/>
            </w:pPr>
            <w:r>
              <w:rPr>
                <w:sz w:val="20"/>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w:history="0" r:id="rId509" w:tooltip="Федеральный закон от 12.04.2010 N 61-ФЗ (ред. от 30.01.2024) &quot;Об обращении лекарственных средств&quot; (с изм. и доп., вступ. в силу с 01.04.2024) {КонсультантПлюс}">
              <w:r>
                <w:rPr>
                  <w:sz w:val="20"/>
                  <w:color w:val="0000ff"/>
                </w:rPr>
                <w:t xml:space="preserve">законом</w:t>
              </w:r>
            </w:hyperlink>
            <w:r>
              <w:rPr>
                <w:sz w:val="20"/>
              </w:rPr>
              <w:t xml:space="preserve"> от 12 апреля 2010 года N 61-ФЗ "Об обращении лекарственных средств"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1 313 000</w:t>
            </w:r>
          </w:p>
        </w:tc>
        <w:tc>
          <w:tcPr>
            <w:tcW w:w="1474" w:type="dxa"/>
            <w:vAlign w:val="center"/>
          </w:tcPr>
          <w:p>
            <w:pPr>
              <w:pStyle w:val="0"/>
              <w:jc w:val="center"/>
            </w:pPr>
            <w:r>
              <w:rPr>
                <w:sz w:val="20"/>
              </w:rPr>
              <w:t xml:space="preserve">1 259 000</w:t>
            </w:r>
          </w:p>
        </w:tc>
        <w:tc>
          <w:tcPr>
            <w:tcW w:w="1474" w:type="dxa"/>
            <w:vAlign w:val="center"/>
          </w:tcPr>
          <w:p>
            <w:pPr>
              <w:pStyle w:val="0"/>
              <w:jc w:val="center"/>
            </w:pPr>
            <w:r>
              <w:rPr>
                <w:sz w:val="20"/>
              </w:rPr>
              <w:t xml:space="preserve">1 190 600</w:t>
            </w:r>
          </w:p>
        </w:tc>
        <w:tc>
          <w:tcPr>
            <w:tcW w:w="1474" w:type="dxa"/>
            <w:vAlign w:val="center"/>
          </w:tcPr>
          <w:p>
            <w:pPr>
              <w:pStyle w:val="0"/>
              <w:jc w:val="center"/>
            </w:pPr>
            <w:r>
              <w:rPr>
                <w:sz w:val="20"/>
              </w:rPr>
              <w:t xml:space="preserve">1 068 200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637 000</w:t>
            </w:r>
          </w:p>
        </w:tc>
        <w:tc>
          <w:tcPr>
            <w:tcW w:w="1474" w:type="dxa"/>
            <w:vAlign w:val="center"/>
          </w:tcPr>
          <w:p>
            <w:pPr>
              <w:pStyle w:val="0"/>
              <w:jc w:val="center"/>
            </w:pPr>
            <w:r>
              <w:rPr>
                <w:sz w:val="20"/>
              </w:rPr>
              <w:t xml:space="preserve">547 000</w:t>
            </w:r>
          </w:p>
        </w:tc>
        <w:tc>
          <w:tcPr>
            <w:tcW w:w="1474" w:type="dxa"/>
            <w:vAlign w:val="center"/>
          </w:tcPr>
          <w:p>
            <w:pPr>
              <w:pStyle w:val="0"/>
              <w:jc w:val="center"/>
            </w:pPr>
            <w:r>
              <w:rPr>
                <w:sz w:val="20"/>
              </w:rPr>
              <w:t xml:space="preserve">433 000</w:t>
            </w:r>
          </w:p>
        </w:tc>
        <w:tc>
          <w:tcPr>
            <w:tcW w:w="1474" w:type="dxa"/>
            <w:vAlign w:val="center"/>
          </w:tcPr>
          <w:p>
            <w:pPr>
              <w:pStyle w:val="0"/>
              <w:jc w:val="center"/>
            </w:pPr>
            <w:r>
              <w:rPr>
                <w:sz w:val="20"/>
              </w:rPr>
              <w:t xml:space="preserve">229 000</w:t>
            </w:r>
          </w:p>
        </w:tc>
      </w:tr>
      <w:tr>
        <w:tc>
          <w:tcPr>
            <w:tcW w:w="680" w:type="dxa"/>
            <w:vAlign w:val="center"/>
            <w:vMerge w:val="restart"/>
          </w:tcPr>
          <w:p>
            <w:pPr>
              <w:pStyle w:val="0"/>
              <w:jc w:val="center"/>
            </w:pPr>
            <w:r>
              <w:rPr>
                <w:sz w:val="20"/>
              </w:rPr>
              <w:t xml:space="preserve">39</w:t>
            </w:r>
          </w:p>
        </w:tc>
        <w:tc>
          <w:tcPr>
            <w:tcW w:w="3742" w:type="dxa"/>
            <w:vAlign w:val="center"/>
            <w:vMerge w:val="restart"/>
          </w:tcPr>
          <w:p>
            <w:pPr>
              <w:pStyle w:val="0"/>
            </w:pPr>
            <w:r>
              <w:rPr>
                <w:sz w:val="20"/>
              </w:rPr>
              <w:t xml:space="preserve">Осуществление частной детективной деятельности лицом, имеющим лицензию</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1 286 600</w:t>
            </w:r>
          </w:p>
        </w:tc>
        <w:tc>
          <w:tcPr>
            <w:tcW w:w="1474" w:type="dxa"/>
            <w:vAlign w:val="center"/>
          </w:tcPr>
          <w:p>
            <w:pPr>
              <w:pStyle w:val="0"/>
              <w:jc w:val="center"/>
            </w:pPr>
            <w:r>
              <w:rPr>
                <w:sz w:val="20"/>
              </w:rPr>
              <w:t xml:space="preserve">1 168 400</w:t>
            </w:r>
          </w:p>
        </w:tc>
        <w:tc>
          <w:tcPr>
            <w:tcW w:w="1474" w:type="dxa"/>
            <w:vAlign w:val="center"/>
          </w:tcPr>
          <w:p>
            <w:pPr>
              <w:pStyle w:val="0"/>
              <w:jc w:val="center"/>
            </w:pPr>
            <w:r>
              <w:rPr>
                <w:sz w:val="20"/>
              </w:rPr>
              <w:t xml:space="preserve">1 116 200</w:t>
            </w:r>
          </w:p>
        </w:tc>
        <w:tc>
          <w:tcPr>
            <w:tcW w:w="1474" w:type="dxa"/>
            <w:vAlign w:val="center"/>
          </w:tcPr>
          <w:p>
            <w:pPr>
              <w:pStyle w:val="0"/>
              <w:jc w:val="center"/>
            </w:pPr>
            <w:r>
              <w:rPr>
                <w:sz w:val="20"/>
              </w:rPr>
              <w:t xml:space="preserve">1 029 800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593 000</w:t>
            </w:r>
          </w:p>
        </w:tc>
        <w:tc>
          <w:tcPr>
            <w:tcW w:w="1474" w:type="dxa"/>
            <w:vAlign w:val="center"/>
          </w:tcPr>
          <w:p>
            <w:pPr>
              <w:pStyle w:val="0"/>
              <w:jc w:val="center"/>
            </w:pPr>
            <w:r>
              <w:rPr>
                <w:sz w:val="20"/>
              </w:rPr>
              <w:t xml:space="preserve">396 000</w:t>
            </w:r>
          </w:p>
        </w:tc>
        <w:tc>
          <w:tcPr>
            <w:tcW w:w="1474" w:type="dxa"/>
            <w:vAlign w:val="center"/>
          </w:tcPr>
          <w:p>
            <w:pPr>
              <w:pStyle w:val="0"/>
              <w:jc w:val="center"/>
            </w:pPr>
            <w:r>
              <w:rPr>
                <w:sz w:val="20"/>
              </w:rPr>
              <w:t xml:space="preserve">309 000</w:t>
            </w:r>
          </w:p>
        </w:tc>
        <w:tc>
          <w:tcPr>
            <w:tcW w:w="1474" w:type="dxa"/>
            <w:vAlign w:val="center"/>
          </w:tcPr>
          <w:p>
            <w:pPr>
              <w:pStyle w:val="0"/>
              <w:jc w:val="center"/>
            </w:pPr>
            <w:r>
              <w:rPr>
                <w:sz w:val="20"/>
              </w:rPr>
              <w:t xml:space="preserve">165 000</w:t>
            </w:r>
          </w:p>
        </w:tc>
      </w:tr>
      <w:tr>
        <w:tc>
          <w:tcPr>
            <w:tcW w:w="680" w:type="dxa"/>
            <w:vAlign w:val="center"/>
            <w:vMerge w:val="restart"/>
          </w:tcPr>
          <w:p>
            <w:pPr>
              <w:pStyle w:val="0"/>
              <w:jc w:val="center"/>
            </w:pPr>
            <w:r>
              <w:rPr>
                <w:sz w:val="20"/>
              </w:rPr>
              <w:t xml:space="preserve">40</w:t>
            </w:r>
          </w:p>
        </w:tc>
        <w:tc>
          <w:tcPr>
            <w:tcW w:w="3742" w:type="dxa"/>
            <w:vAlign w:val="center"/>
            <w:vMerge w:val="restart"/>
          </w:tcPr>
          <w:p>
            <w:pPr>
              <w:pStyle w:val="0"/>
            </w:pPr>
            <w:r>
              <w:rPr>
                <w:sz w:val="20"/>
              </w:rPr>
              <w:t xml:space="preserve">Услуги по прокату</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41</w:t>
            </w:r>
          </w:p>
        </w:tc>
        <w:tc>
          <w:tcPr>
            <w:tcW w:w="3742" w:type="dxa"/>
            <w:vAlign w:val="center"/>
            <w:vMerge w:val="restart"/>
          </w:tcPr>
          <w:p>
            <w:pPr>
              <w:pStyle w:val="0"/>
            </w:pPr>
            <w:r>
              <w:rPr>
                <w:sz w:val="20"/>
              </w:rPr>
              <w:t xml:space="preserve">Услуги экскурсионные туристические</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1 654 400</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1 062 200</w:t>
            </w:r>
          </w:p>
        </w:tc>
        <w:tc>
          <w:tcPr>
            <w:tcW w:w="1474" w:type="dxa"/>
            <w:vAlign w:val="center"/>
          </w:tcPr>
          <w:p>
            <w:pPr>
              <w:pStyle w:val="0"/>
              <w:jc w:val="center"/>
            </w:pPr>
            <w:r>
              <w:rPr>
                <w:sz w:val="20"/>
              </w:rPr>
              <w:t xml:space="preserve">1 001 600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1 206 000</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219 000</w:t>
            </w:r>
          </w:p>
        </w:tc>
        <w:tc>
          <w:tcPr>
            <w:tcW w:w="1474" w:type="dxa"/>
            <w:vAlign w:val="center"/>
          </w:tcPr>
          <w:p>
            <w:pPr>
              <w:pStyle w:val="0"/>
              <w:jc w:val="center"/>
            </w:pPr>
            <w:r>
              <w:rPr>
                <w:sz w:val="20"/>
              </w:rPr>
              <w:t xml:space="preserve">118 000</w:t>
            </w:r>
          </w:p>
        </w:tc>
      </w:tr>
      <w:tr>
        <w:tc>
          <w:tcPr>
            <w:tcW w:w="680" w:type="dxa"/>
            <w:vAlign w:val="center"/>
            <w:vMerge w:val="restart"/>
          </w:tcPr>
          <w:p>
            <w:pPr>
              <w:pStyle w:val="0"/>
              <w:jc w:val="center"/>
            </w:pPr>
            <w:r>
              <w:rPr>
                <w:sz w:val="20"/>
              </w:rPr>
              <w:t xml:space="preserve">42</w:t>
            </w:r>
          </w:p>
        </w:tc>
        <w:tc>
          <w:tcPr>
            <w:tcW w:w="3742" w:type="dxa"/>
            <w:vAlign w:val="center"/>
            <w:vMerge w:val="restart"/>
          </w:tcPr>
          <w:p>
            <w:pPr>
              <w:pStyle w:val="0"/>
            </w:pPr>
            <w:r>
              <w:rPr>
                <w:sz w:val="20"/>
              </w:rPr>
              <w:t xml:space="preserve">Организация обрядов (свадеб, юбилеев), в том числе музыкальное сопровождение</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43</w:t>
            </w:r>
          </w:p>
        </w:tc>
        <w:tc>
          <w:tcPr>
            <w:tcW w:w="3742" w:type="dxa"/>
            <w:vAlign w:val="center"/>
            <w:vMerge w:val="restart"/>
          </w:tcPr>
          <w:p>
            <w:pPr>
              <w:pStyle w:val="0"/>
            </w:pPr>
            <w:r>
              <w:rPr>
                <w:sz w:val="20"/>
              </w:rPr>
              <w:t xml:space="preserve">Организация похорон и предоставление связанных с ними услуг</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bookmarkStart w:id="1582" w:name="P1582"/>
          <w:bookmarkEnd w:id="1582"/>
          <w:p>
            <w:pPr>
              <w:pStyle w:val="0"/>
              <w:jc w:val="center"/>
            </w:pPr>
            <w:r>
              <w:rPr>
                <w:sz w:val="20"/>
              </w:rPr>
              <w:t xml:space="preserve">44</w:t>
            </w:r>
          </w:p>
        </w:tc>
        <w:tc>
          <w:tcPr>
            <w:tcW w:w="3742" w:type="dxa"/>
            <w:vAlign w:val="center"/>
            <w:vMerge w:val="restart"/>
          </w:tcPr>
          <w:p>
            <w:pPr>
              <w:pStyle w:val="0"/>
            </w:pPr>
            <w:r>
              <w:rPr>
                <w:sz w:val="20"/>
              </w:rPr>
              <w:t xml:space="preserve">Услуги уличных патрулей, охранников, сторожей и вахтеров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tcPr>
          <w:bookmarkStart w:id="1594" w:name="P1594"/>
          <w:bookmarkEnd w:id="1594"/>
          <w:p>
            <w:pPr>
              <w:pStyle w:val="0"/>
              <w:jc w:val="center"/>
            </w:pPr>
            <w:r>
              <w:rPr>
                <w:sz w:val="20"/>
              </w:rPr>
              <w:t xml:space="preserve">45.1</w:t>
            </w:r>
          </w:p>
        </w:tc>
        <w:tc>
          <w:tcPr>
            <w:tcW w:w="3742" w:type="dxa"/>
            <w:vAlign w:val="center"/>
          </w:tcPr>
          <w:p>
            <w:pPr>
              <w:pStyle w:val="0"/>
            </w:pPr>
            <w:r>
              <w:rPr>
                <w:sz w:val="20"/>
              </w:rPr>
              <w:t xml:space="preserve">Розничная торговля, осуществляемая через объекты стационарной торговой сети, имеющие торговые залы, с площадью объекта стационарной торговой сети до 15 метров квадратных включительно</w:t>
            </w:r>
          </w:p>
        </w:tc>
        <w:tc>
          <w:tcPr>
            <w:tcW w:w="3288" w:type="dxa"/>
            <w:vAlign w:val="center"/>
          </w:tcPr>
          <w:p>
            <w:pPr>
              <w:pStyle w:val="0"/>
            </w:pPr>
            <w:r>
              <w:rPr>
                <w:sz w:val="20"/>
              </w:rPr>
              <w:t xml:space="preserve">на один объект стационарной торговой сети</w:t>
            </w:r>
          </w:p>
        </w:tc>
        <w:tc>
          <w:tcPr>
            <w:tcW w:w="1474" w:type="dxa"/>
            <w:vAlign w:val="center"/>
          </w:tcPr>
          <w:p>
            <w:pPr>
              <w:pStyle w:val="0"/>
              <w:jc w:val="center"/>
            </w:pPr>
            <w:r>
              <w:rPr>
                <w:sz w:val="20"/>
              </w:rPr>
              <w:t xml:space="preserve">960 000</w:t>
            </w:r>
          </w:p>
        </w:tc>
        <w:tc>
          <w:tcPr>
            <w:tcW w:w="1474" w:type="dxa"/>
            <w:vAlign w:val="center"/>
          </w:tcPr>
          <w:p>
            <w:pPr>
              <w:pStyle w:val="0"/>
              <w:jc w:val="center"/>
            </w:pPr>
            <w:r>
              <w:rPr>
                <w:sz w:val="20"/>
              </w:rPr>
              <w:t xml:space="preserve">833 000</w:t>
            </w:r>
          </w:p>
        </w:tc>
        <w:tc>
          <w:tcPr>
            <w:tcW w:w="1474" w:type="dxa"/>
            <w:vAlign w:val="center"/>
          </w:tcPr>
          <w:p>
            <w:pPr>
              <w:pStyle w:val="0"/>
              <w:jc w:val="center"/>
            </w:pPr>
            <w:r>
              <w:rPr>
                <w:sz w:val="20"/>
              </w:rPr>
              <w:t xml:space="preserve">663 000</w:t>
            </w:r>
          </w:p>
        </w:tc>
        <w:tc>
          <w:tcPr>
            <w:tcW w:w="1474" w:type="dxa"/>
            <w:vAlign w:val="center"/>
          </w:tcPr>
          <w:p>
            <w:pPr>
              <w:pStyle w:val="0"/>
              <w:jc w:val="center"/>
            </w:pPr>
            <w:r>
              <w:rPr>
                <w:sz w:val="20"/>
              </w:rPr>
              <w:t xml:space="preserve">343 000</w:t>
            </w:r>
          </w:p>
        </w:tc>
      </w:tr>
      <w:tr>
        <w:tc>
          <w:tcPr>
            <w:tcW w:w="680" w:type="dxa"/>
            <w:vAlign w:val="center"/>
          </w:tcPr>
          <w:bookmarkStart w:id="1601" w:name="P1601"/>
          <w:bookmarkEnd w:id="1601"/>
          <w:p>
            <w:pPr>
              <w:pStyle w:val="0"/>
              <w:jc w:val="center"/>
            </w:pPr>
            <w:r>
              <w:rPr>
                <w:sz w:val="20"/>
              </w:rPr>
              <w:t xml:space="preserve">45.2</w:t>
            </w:r>
          </w:p>
        </w:tc>
        <w:tc>
          <w:tcPr>
            <w:tcW w:w="3742" w:type="dxa"/>
            <w:vAlign w:val="center"/>
          </w:tcPr>
          <w:p>
            <w:pPr>
              <w:pStyle w:val="0"/>
            </w:pPr>
            <w:r>
              <w:rPr>
                <w:sz w:val="20"/>
              </w:rPr>
              <w:t xml:space="preserve">Розничная торговля, осуществляемая через объекты стационарной торговой сети, имеющие торговые залы, с площадью объекта стационарной торговой сети свыше 15 метров квадратных</w:t>
            </w:r>
          </w:p>
        </w:tc>
        <w:tc>
          <w:tcPr>
            <w:tcW w:w="3288" w:type="dxa"/>
            <w:vAlign w:val="center"/>
          </w:tcPr>
          <w:p>
            <w:pPr>
              <w:pStyle w:val="0"/>
            </w:pPr>
            <w:r>
              <w:rPr>
                <w:sz w:val="20"/>
              </w:rPr>
              <w:t xml:space="preserve">на 1 квадратный метр площади объекта стационарной торговой сети</w:t>
            </w:r>
          </w:p>
        </w:tc>
        <w:tc>
          <w:tcPr>
            <w:tcW w:w="1474" w:type="dxa"/>
            <w:vAlign w:val="center"/>
          </w:tcPr>
          <w:p>
            <w:pPr>
              <w:pStyle w:val="0"/>
              <w:jc w:val="center"/>
            </w:pPr>
            <w:r>
              <w:rPr>
                <w:sz w:val="20"/>
              </w:rPr>
              <w:t xml:space="preserve">64 000</w:t>
            </w:r>
          </w:p>
        </w:tc>
        <w:tc>
          <w:tcPr>
            <w:tcW w:w="1474" w:type="dxa"/>
            <w:vAlign w:val="center"/>
          </w:tcPr>
          <w:p>
            <w:pPr>
              <w:pStyle w:val="0"/>
              <w:jc w:val="center"/>
            </w:pPr>
            <w:r>
              <w:rPr>
                <w:sz w:val="20"/>
              </w:rPr>
              <w:t xml:space="preserve">56 000</w:t>
            </w:r>
          </w:p>
        </w:tc>
        <w:tc>
          <w:tcPr>
            <w:tcW w:w="1474" w:type="dxa"/>
            <w:vAlign w:val="center"/>
          </w:tcPr>
          <w:p>
            <w:pPr>
              <w:pStyle w:val="0"/>
              <w:jc w:val="center"/>
            </w:pPr>
            <w:r>
              <w:rPr>
                <w:sz w:val="20"/>
              </w:rPr>
              <w:t xml:space="preserve">45 000</w:t>
            </w:r>
          </w:p>
        </w:tc>
        <w:tc>
          <w:tcPr>
            <w:tcW w:w="1474" w:type="dxa"/>
            <w:vAlign w:val="center"/>
          </w:tcPr>
          <w:p>
            <w:pPr>
              <w:pStyle w:val="0"/>
              <w:jc w:val="center"/>
            </w:pPr>
            <w:r>
              <w:rPr>
                <w:sz w:val="20"/>
              </w:rPr>
              <w:t xml:space="preserve">24 000</w:t>
            </w:r>
          </w:p>
        </w:tc>
      </w:tr>
      <w:tr>
        <w:tc>
          <w:tcPr>
            <w:tcW w:w="680" w:type="dxa"/>
            <w:vAlign w:val="center"/>
          </w:tcPr>
          <w:bookmarkStart w:id="1608" w:name="P1608"/>
          <w:bookmarkEnd w:id="1608"/>
          <w:p>
            <w:pPr>
              <w:pStyle w:val="0"/>
              <w:jc w:val="center"/>
            </w:pPr>
            <w:r>
              <w:rPr>
                <w:sz w:val="20"/>
              </w:rPr>
              <w:t xml:space="preserve">46.1</w:t>
            </w:r>
          </w:p>
        </w:tc>
        <w:tc>
          <w:tcPr>
            <w:tcW w:w="3742" w:type="dxa"/>
            <w:vAlign w:val="center"/>
          </w:tcPr>
          <w:p>
            <w:pPr>
              <w:pStyle w:val="0"/>
            </w:pPr>
            <w:r>
              <w:rPr>
                <w:sz w:val="20"/>
              </w:rPr>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 с площадью объекта стационарной торговой сети, не имеющей торгового зала, до 15 метров квадратных включительно</w:t>
            </w:r>
          </w:p>
        </w:tc>
        <w:tc>
          <w:tcPr>
            <w:tcW w:w="3288" w:type="dxa"/>
            <w:vAlign w:val="center"/>
          </w:tcPr>
          <w:p>
            <w:pPr>
              <w:pStyle w:val="0"/>
            </w:pPr>
            <w:r>
              <w:rPr>
                <w:sz w:val="20"/>
              </w:rPr>
              <w:t xml:space="preserve">на один объект стационарной (нестационарной) торговой сети</w:t>
            </w:r>
          </w:p>
        </w:tc>
        <w:tc>
          <w:tcPr>
            <w:tcW w:w="1474" w:type="dxa"/>
            <w:vAlign w:val="center"/>
          </w:tcPr>
          <w:p>
            <w:pPr>
              <w:pStyle w:val="0"/>
              <w:jc w:val="center"/>
            </w:pPr>
            <w:r>
              <w:rPr>
                <w:sz w:val="20"/>
              </w:rPr>
              <w:t xml:space="preserve">960 000</w:t>
            </w:r>
          </w:p>
        </w:tc>
        <w:tc>
          <w:tcPr>
            <w:tcW w:w="1474" w:type="dxa"/>
            <w:vAlign w:val="center"/>
          </w:tcPr>
          <w:p>
            <w:pPr>
              <w:pStyle w:val="0"/>
              <w:jc w:val="center"/>
            </w:pPr>
            <w:r>
              <w:rPr>
                <w:sz w:val="20"/>
              </w:rPr>
              <w:t xml:space="preserve">833 000</w:t>
            </w:r>
          </w:p>
        </w:tc>
        <w:tc>
          <w:tcPr>
            <w:tcW w:w="1474" w:type="dxa"/>
            <w:vAlign w:val="center"/>
          </w:tcPr>
          <w:p>
            <w:pPr>
              <w:pStyle w:val="0"/>
              <w:jc w:val="center"/>
            </w:pPr>
            <w:r>
              <w:rPr>
                <w:sz w:val="20"/>
              </w:rPr>
              <w:t xml:space="preserve">663 000</w:t>
            </w:r>
          </w:p>
        </w:tc>
        <w:tc>
          <w:tcPr>
            <w:tcW w:w="1474" w:type="dxa"/>
            <w:vAlign w:val="center"/>
          </w:tcPr>
          <w:p>
            <w:pPr>
              <w:pStyle w:val="0"/>
              <w:jc w:val="center"/>
            </w:pPr>
            <w:r>
              <w:rPr>
                <w:sz w:val="20"/>
              </w:rPr>
              <w:t xml:space="preserve">343 000</w:t>
            </w:r>
          </w:p>
        </w:tc>
      </w:tr>
      <w:tr>
        <w:tc>
          <w:tcPr>
            <w:tcW w:w="680" w:type="dxa"/>
            <w:vAlign w:val="center"/>
          </w:tcPr>
          <w:bookmarkStart w:id="1615" w:name="P1615"/>
          <w:bookmarkEnd w:id="1615"/>
          <w:p>
            <w:pPr>
              <w:pStyle w:val="0"/>
              <w:jc w:val="center"/>
            </w:pPr>
            <w:r>
              <w:rPr>
                <w:sz w:val="20"/>
              </w:rPr>
              <w:t xml:space="preserve">46.2</w:t>
            </w:r>
          </w:p>
        </w:tc>
        <w:tc>
          <w:tcPr>
            <w:tcW w:w="3742" w:type="dxa"/>
            <w:vAlign w:val="center"/>
          </w:tcPr>
          <w:p>
            <w:pPr>
              <w:pStyle w:val="0"/>
            </w:pPr>
            <w:r>
              <w:rPr>
                <w:sz w:val="20"/>
              </w:rPr>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розничной торговли) с площадью объекта стационарной торговой сети, не имеющей торгового зала, свыше 15 метров квадратных</w:t>
            </w:r>
          </w:p>
        </w:tc>
        <w:tc>
          <w:tcPr>
            <w:tcW w:w="3288" w:type="dxa"/>
            <w:vAlign w:val="center"/>
          </w:tcPr>
          <w:p>
            <w:pPr>
              <w:pStyle w:val="0"/>
            </w:pPr>
            <w:r>
              <w:rPr>
                <w:sz w:val="20"/>
              </w:rPr>
              <w:t xml:space="preserve">на 1 квадратный метр площади объекта стационарной (нестационарной) торговой сети</w:t>
            </w:r>
          </w:p>
        </w:tc>
        <w:tc>
          <w:tcPr>
            <w:tcW w:w="1474" w:type="dxa"/>
            <w:vAlign w:val="center"/>
          </w:tcPr>
          <w:p>
            <w:pPr>
              <w:pStyle w:val="0"/>
              <w:jc w:val="center"/>
            </w:pPr>
            <w:r>
              <w:rPr>
                <w:sz w:val="20"/>
              </w:rPr>
              <w:t xml:space="preserve">64 000</w:t>
            </w:r>
          </w:p>
        </w:tc>
        <w:tc>
          <w:tcPr>
            <w:tcW w:w="1474" w:type="dxa"/>
            <w:vAlign w:val="center"/>
          </w:tcPr>
          <w:p>
            <w:pPr>
              <w:pStyle w:val="0"/>
              <w:jc w:val="center"/>
            </w:pPr>
            <w:r>
              <w:rPr>
                <w:sz w:val="20"/>
              </w:rPr>
              <w:t xml:space="preserve">56 000</w:t>
            </w:r>
          </w:p>
        </w:tc>
        <w:tc>
          <w:tcPr>
            <w:tcW w:w="1474" w:type="dxa"/>
            <w:vAlign w:val="center"/>
          </w:tcPr>
          <w:p>
            <w:pPr>
              <w:pStyle w:val="0"/>
              <w:jc w:val="center"/>
            </w:pPr>
            <w:r>
              <w:rPr>
                <w:sz w:val="20"/>
              </w:rPr>
              <w:t xml:space="preserve">45 000</w:t>
            </w:r>
          </w:p>
        </w:tc>
        <w:tc>
          <w:tcPr>
            <w:tcW w:w="1474" w:type="dxa"/>
            <w:vAlign w:val="center"/>
          </w:tcPr>
          <w:p>
            <w:pPr>
              <w:pStyle w:val="0"/>
              <w:jc w:val="center"/>
            </w:pPr>
            <w:r>
              <w:rPr>
                <w:sz w:val="20"/>
              </w:rPr>
              <w:t xml:space="preserve">24 000</w:t>
            </w:r>
          </w:p>
        </w:tc>
      </w:tr>
      <w:tr>
        <w:tc>
          <w:tcPr>
            <w:tcW w:w="680" w:type="dxa"/>
            <w:vAlign w:val="center"/>
          </w:tcPr>
          <w:bookmarkStart w:id="1622" w:name="P1622"/>
          <w:bookmarkEnd w:id="1622"/>
          <w:p>
            <w:pPr>
              <w:pStyle w:val="0"/>
              <w:jc w:val="center"/>
            </w:pPr>
            <w:r>
              <w:rPr>
                <w:sz w:val="20"/>
              </w:rPr>
              <w:t xml:space="preserve">46.3</w:t>
            </w:r>
          </w:p>
        </w:tc>
        <w:tc>
          <w:tcPr>
            <w:tcW w:w="3742" w:type="dxa"/>
            <w:vAlign w:val="center"/>
          </w:tcPr>
          <w:p>
            <w:pPr>
              <w:pStyle w:val="0"/>
            </w:pPr>
            <w:r>
              <w:rPr>
                <w:sz w:val="20"/>
              </w:rPr>
              <w:t xml:space="preserve">Розничная торговля, осуществляемая через объекты нестационарной торговой сети (в части развозной и разносной розничной торговли)</w:t>
            </w:r>
          </w:p>
        </w:tc>
        <w:tc>
          <w:tcPr>
            <w:tcW w:w="3288" w:type="dxa"/>
            <w:vAlign w:val="center"/>
          </w:tcPr>
          <w:p>
            <w:pPr>
              <w:pStyle w:val="0"/>
            </w:pPr>
            <w:r>
              <w:rPr>
                <w:sz w:val="20"/>
              </w:rPr>
              <w:t xml:space="preserve">на один объект нестационарной торговой сети</w:t>
            </w:r>
          </w:p>
        </w:tc>
        <w:tc>
          <w:tcPr>
            <w:gridSpan w:val="4"/>
            <w:tcW w:w="5896" w:type="dxa"/>
            <w:vAlign w:val="center"/>
          </w:tcPr>
          <w:p>
            <w:pPr>
              <w:pStyle w:val="0"/>
              <w:jc w:val="center"/>
            </w:pPr>
            <w:r>
              <w:rPr>
                <w:sz w:val="20"/>
              </w:rPr>
              <w:t xml:space="preserve">1 500 000</w:t>
            </w:r>
          </w:p>
        </w:tc>
      </w:tr>
      <w:tr>
        <w:tc>
          <w:tcPr>
            <w:tcW w:w="680" w:type="dxa"/>
            <w:vAlign w:val="center"/>
          </w:tcPr>
          <w:bookmarkStart w:id="1626" w:name="P1626"/>
          <w:bookmarkEnd w:id="1626"/>
          <w:p>
            <w:pPr>
              <w:pStyle w:val="0"/>
              <w:jc w:val="center"/>
            </w:pPr>
            <w:r>
              <w:rPr>
                <w:sz w:val="20"/>
              </w:rPr>
              <w:t xml:space="preserve">47.1</w:t>
            </w:r>
          </w:p>
        </w:tc>
        <w:tc>
          <w:tcPr>
            <w:tcW w:w="3742" w:type="dxa"/>
            <w:vAlign w:val="center"/>
          </w:tcPr>
          <w:p>
            <w:pPr>
              <w:pStyle w:val="0"/>
            </w:pPr>
            <w:r>
              <w:rPr>
                <w:sz w:val="20"/>
              </w:rPr>
              <w:t xml:space="preserve">Услуги общественного питания, оказываемые через объекты организации общественного питания с площадью объекта организации общественного питания до 35 метров квадратных включительно</w:t>
            </w:r>
          </w:p>
        </w:tc>
        <w:tc>
          <w:tcPr>
            <w:tcW w:w="3288" w:type="dxa"/>
            <w:vAlign w:val="center"/>
          </w:tcPr>
          <w:p>
            <w:pPr>
              <w:pStyle w:val="0"/>
            </w:pPr>
            <w:r>
              <w:rPr>
                <w:sz w:val="20"/>
              </w:rPr>
              <w:t xml:space="preserve">на один объект организации общественного питания</w:t>
            </w:r>
          </w:p>
        </w:tc>
        <w:tc>
          <w:tcPr>
            <w:tcW w:w="1474" w:type="dxa"/>
            <w:vAlign w:val="center"/>
          </w:tcPr>
          <w:p>
            <w:pPr>
              <w:pStyle w:val="0"/>
              <w:jc w:val="center"/>
            </w:pPr>
            <w:r>
              <w:rPr>
                <w:sz w:val="20"/>
              </w:rPr>
              <w:t xml:space="preserve">1 085 000</w:t>
            </w:r>
          </w:p>
        </w:tc>
        <w:tc>
          <w:tcPr>
            <w:tcW w:w="1474" w:type="dxa"/>
            <w:vAlign w:val="center"/>
          </w:tcPr>
          <w:p>
            <w:pPr>
              <w:pStyle w:val="0"/>
              <w:jc w:val="center"/>
            </w:pPr>
            <w:r>
              <w:rPr>
                <w:sz w:val="20"/>
              </w:rPr>
              <w:t xml:space="preserve">934 000</w:t>
            </w:r>
          </w:p>
        </w:tc>
        <w:tc>
          <w:tcPr>
            <w:tcW w:w="1474" w:type="dxa"/>
            <w:vAlign w:val="center"/>
          </w:tcPr>
          <w:p>
            <w:pPr>
              <w:pStyle w:val="0"/>
              <w:jc w:val="center"/>
            </w:pPr>
            <w:r>
              <w:rPr>
                <w:sz w:val="20"/>
              </w:rPr>
              <w:t xml:space="preserve">739 000</w:t>
            </w:r>
          </w:p>
        </w:tc>
        <w:tc>
          <w:tcPr>
            <w:tcW w:w="1474" w:type="dxa"/>
            <w:vAlign w:val="center"/>
          </w:tcPr>
          <w:p>
            <w:pPr>
              <w:pStyle w:val="0"/>
              <w:jc w:val="center"/>
            </w:pPr>
            <w:r>
              <w:rPr>
                <w:sz w:val="20"/>
              </w:rPr>
              <w:t xml:space="preserve">391 000</w:t>
            </w:r>
          </w:p>
        </w:tc>
      </w:tr>
      <w:tr>
        <w:tc>
          <w:tcPr>
            <w:tcW w:w="680" w:type="dxa"/>
            <w:vAlign w:val="center"/>
          </w:tcPr>
          <w:bookmarkStart w:id="1633" w:name="P1633"/>
          <w:bookmarkEnd w:id="1633"/>
          <w:p>
            <w:pPr>
              <w:pStyle w:val="0"/>
              <w:jc w:val="center"/>
            </w:pPr>
            <w:r>
              <w:rPr>
                <w:sz w:val="20"/>
              </w:rPr>
              <w:t xml:space="preserve">47.2</w:t>
            </w:r>
          </w:p>
        </w:tc>
        <w:tc>
          <w:tcPr>
            <w:tcW w:w="3742" w:type="dxa"/>
            <w:vAlign w:val="center"/>
          </w:tcPr>
          <w:p>
            <w:pPr>
              <w:pStyle w:val="0"/>
            </w:pPr>
            <w:r>
              <w:rPr>
                <w:sz w:val="20"/>
              </w:rPr>
              <w:t xml:space="preserve">Услуги общественного питания, оказываемые через объекты организации общественного питания с площадью объекта организации общественного питания свыше 35 метров квадратных</w:t>
            </w:r>
          </w:p>
        </w:tc>
        <w:tc>
          <w:tcPr>
            <w:tcW w:w="3288" w:type="dxa"/>
            <w:vAlign w:val="center"/>
          </w:tcPr>
          <w:p>
            <w:pPr>
              <w:pStyle w:val="0"/>
            </w:pPr>
            <w:r>
              <w:rPr>
                <w:sz w:val="20"/>
              </w:rPr>
              <w:t xml:space="preserve">на 1 квадратный метр площади объекта организации общественного питания</w:t>
            </w:r>
          </w:p>
        </w:tc>
        <w:tc>
          <w:tcPr>
            <w:tcW w:w="1474" w:type="dxa"/>
            <w:vAlign w:val="center"/>
          </w:tcPr>
          <w:p>
            <w:pPr>
              <w:pStyle w:val="0"/>
              <w:jc w:val="center"/>
            </w:pPr>
            <w:r>
              <w:rPr>
                <w:sz w:val="20"/>
              </w:rPr>
              <w:t xml:space="preserve">31 000</w:t>
            </w:r>
          </w:p>
        </w:tc>
        <w:tc>
          <w:tcPr>
            <w:tcW w:w="1474" w:type="dxa"/>
            <w:vAlign w:val="center"/>
          </w:tcPr>
          <w:p>
            <w:pPr>
              <w:pStyle w:val="0"/>
              <w:jc w:val="center"/>
            </w:pPr>
            <w:r>
              <w:rPr>
                <w:sz w:val="20"/>
              </w:rPr>
              <w:t xml:space="preserve">27 000</w:t>
            </w:r>
          </w:p>
        </w:tc>
        <w:tc>
          <w:tcPr>
            <w:tcW w:w="1474" w:type="dxa"/>
            <w:vAlign w:val="center"/>
          </w:tcPr>
          <w:p>
            <w:pPr>
              <w:pStyle w:val="0"/>
              <w:jc w:val="center"/>
            </w:pPr>
            <w:r>
              <w:rPr>
                <w:sz w:val="20"/>
              </w:rPr>
              <w:t xml:space="preserve">22 000</w:t>
            </w:r>
          </w:p>
        </w:tc>
        <w:tc>
          <w:tcPr>
            <w:tcW w:w="1474" w:type="dxa"/>
            <w:vAlign w:val="center"/>
          </w:tcPr>
          <w:p>
            <w:pPr>
              <w:pStyle w:val="0"/>
              <w:jc w:val="center"/>
            </w:pPr>
            <w:r>
              <w:rPr>
                <w:sz w:val="20"/>
              </w:rPr>
              <w:t xml:space="preserve">12 000</w:t>
            </w:r>
          </w:p>
        </w:tc>
      </w:tr>
      <w:tr>
        <w:tc>
          <w:tcPr>
            <w:tcW w:w="680" w:type="dxa"/>
            <w:vAlign w:val="center"/>
          </w:tcPr>
          <w:bookmarkStart w:id="1640" w:name="P1640"/>
          <w:bookmarkEnd w:id="1640"/>
          <w:p>
            <w:pPr>
              <w:pStyle w:val="0"/>
              <w:jc w:val="center"/>
            </w:pPr>
            <w:r>
              <w:rPr>
                <w:sz w:val="20"/>
              </w:rPr>
              <w:t xml:space="preserve">48.1</w:t>
            </w:r>
          </w:p>
        </w:tc>
        <w:tc>
          <w:tcPr>
            <w:tcW w:w="3742" w:type="dxa"/>
            <w:vAlign w:val="center"/>
          </w:tcPr>
          <w:p>
            <w:pPr>
              <w:pStyle w:val="0"/>
            </w:pPr>
            <w:r>
              <w:rPr>
                <w:sz w:val="20"/>
              </w:rPr>
              <w:t xml:space="preserve">Услуги общественного питания, оказываемые через объекты организации общественного питания, не имеющие зала обслуживания посетителей, с площадью объекта организации общественного питания до 35 метров квадратных включительно</w:t>
            </w:r>
          </w:p>
        </w:tc>
        <w:tc>
          <w:tcPr>
            <w:tcW w:w="3288" w:type="dxa"/>
            <w:vAlign w:val="center"/>
          </w:tcPr>
          <w:p>
            <w:pPr>
              <w:pStyle w:val="0"/>
            </w:pPr>
            <w:r>
              <w:rPr>
                <w:sz w:val="20"/>
              </w:rPr>
              <w:t xml:space="preserve">на один объект организации общественного питания</w:t>
            </w:r>
          </w:p>
        </w:tc>
        <w:tc>
          <w:tcPr>
            <w:tcW w:w="1474" w:type="dxa"/>
            <w:vAlign w:val="center"/>
          </w:tcPr>
          <w:p>
            <w:pPr>
              <w:pStyle w:val="0"/>
              <w:jc w:val="center"/>
            </w:pPr>
            <w:r>
              <w:rPr>
                <w:sz w:val="20"/>
              </w:rPr>
              <w:t xml:space="preserve">1 085 000</w:t>
            </w:r>
          </w:p>
        </w:tc>
        <w:tc>
          <w:tcPr>
            <w:tcW w:w="1474" w:type="dxa"/>
            <w:vAlign w:val="center"/>
          </w:tcPr>
          <w:p>
            <w:pPr>
              <w:pStyle w:val="0"/>
              <w:jc w:val="center"/>
            </w:pPr>
            <w:r>
              <w:rPr>
                <w:sz w:val="20"/>
              </w:rPr>
              <w:t xml:space="preserve">934 000</w:t>
            </w:r>
          </w:p>
        </w:tc>
        <w:tc>
          <w:tcPr>
            <w:tcW w:w="1474" w:type="dxa"/>
            <w:vAlign w:val="center"/>
          </w:tcPr>
          <w:p>
            <w:pPr>
              <w:pStyle w:val="0"/>
              <w:jc w:val="center"/>
            </w:pPr>
            <w:r>
              <w:rPr>
                <w:sz w:val="20"/>
              </w:rPr>
              <w:t xml:space="preserve">739 000</w:t>
            </w:r>
          </w:p>
        </w:tc>
        <w:tc>
          <w:tcPr>
            <w:tcW w:w="1474" w:type="dxa"/>
            <w:vAlign w:val="center"/>
          </w:tcPr>
          <w:p>
            <w:pPr>
              <w:pStyle w:val="0"/>
              <w:jc w:val="center"/>
            </w:pPr>
            <w:r>
              <w:rPr>
                <w:sz w:val="20"/>
              </w:rPr>
              <w:t xml:space="preserve">391 000</w:t>
            </w:r>
          </w:p>
        </w:tc>
      </w:tr>
      <w:tr>
        <w:tc>
          <w:tcPr>
            <w:tcW w:w="680" w:type="dxa"/>
            <w:vAlign w:val="center"/>
          </w:tcPr>
          <w:bookmarkStart w:id="1647" w:name="P1647"/>
          <w:bookmarkEnd w:id="1647"/>
          <w:p>
            <w:pPr>
              <w:pStyle w:val="0"/>
              <w:jc w:val="center"/>
            </w:pPr>
            <w:r>
              <w:rPr>
                <w:sz w:val="20"/>
              </w:rPr>
              <w:t xml:space="preserve">48.2</w:t>
            </w:r>
          </w:p>
        </w:tc>
        <w:tc>
          <w:tcPr>
            <w:tcW w:w="3742" w:type="dxa"/>
            <w:vAlign w:val="center"/>
          </w:tcPr>
          <w:p>
            <w:pPr>
              <w:pStyle w:val="0"/>
            </w:pPr>
            <w:r>
              <w:rPr>
                <w:sz w:val="20"/>
              </w:rPr>
              <w:t xml:space="preserve">Услуги общественного питания, оказываемые через объекты организации общественного питания, не имеющие зала обслуживания посетителей, с площадью объекта организации общественного питания свыше 35 метров квадратных</w:t>
            </w:r>
          </w:p>
        </w:tc>
        <w:tc>
          <w:tcPr>
            <w:tcW w:w="3288" w:type="dxa"/>
            <w:vAlign w:val="center"/>
          </w:tcPr>
          <w:p>
            <w:pPr>
              <w:pStyle w:val="0"/>
            </w:pPr>
            <w:r>
              <w:rPr>
                <w:sz w:val="20"/>
              </w:rPr>
              <w:t xml:space="preserve">на 1 квадратный метр площади объекта организации общественного питания</w:t>
            </w:r>
          </w:p>
        </w:tc>
        <w:tc>
          <w:tcPr>
            <w:tcW w:w="1474" w:type="dxa"/>
            <w:vAlign w:val="center"/>
          </w:tcPr>
          <w:p>
            <w:pPr>
              <w:pStyle w:val="0"/>
              <w:jc w:val="center"/>
            </w:pPr>
            <w:r>
              <w:rPr>
                <w:sz w:val="20"/>
              </w:rPr>
              <w:t xml:space="preserve">31 000</w:t>
            </w:r>
          </w:p>
        </w:tc>
        <w:tc>
          <w:tcPr>
            <w:tcW w:w="1474" w:type="dxa"/>
            <w:vAlign w:val="center"/>
          </w:tcPr>
          <w:p>
            <w:pPr>
              <w:pStyle w:val="0"/>
              <w:jc w:val="center"/>
            </w:pPr>
            <w:r>
              <w:rPr>
                <w:sz w:val="20"/>
              </w:rPr>
              <w:t xml:space="preserve">27 000</w:t>
            </w:r>
          </w:p>
        </w:tc>
        <w:tc>
          <w:tcPr>
            <w:tcW w:w="1474" w:type="dxa"/>
            <w:vAlign w:val="center"/>
          </w:tcPr>
          <w:p>
            <w:pPr>
              <w:pStyle w:val="0"/>
              <w:jc w:val="center"/>
            </w:pPr>
            <w:r>
              <w:rPr>
                <w:sz w:val="20"/>
              </w:rPr>
              <w:t xml:space="preserve">22 000</w:t>
            </w:r>
          </w:p>
        </w:tc>
        <w:tc>
          <w:tcPr>
            <w:tcW w:w="1474" w:type="dxa"/>
            <w:vAlign w:val="center"/>
          </w:tcPr>
          <w:p>
            <w:pPr>
              <w:pStyle w:val="0"/>
              <w:jc w:val="center"/>
            </w:pPr>
            <w:r>
              <w:rPr>
                <w:sz w:val="20"/>
              </w:rPr>
              <w:t xml:space="preserve">12 000</w:t>
            </w:r>
          </w:p>
        </w:tc>
      </w:tr>
      <w:tr>
        <w:tc>
          <w:tcPr>
            <w:tcW w:w="680" w:type="dxa"/>
            <w:vAlign w:val="center"/>
            <w:vMerge w:val="restart"/>
          </w:tcPr>
          <w:bookmarkStart w:id="1654" w:name="P1654"/>
          <w:bookmarkEnd w:id="1654"/>
          <w:p>
            <w:pPr>
              <w:pStyle w:val="0"/>
              <w:jc w:val="center"/>
            </w:pPr>
            <w:r>
              <w:rPr>
                <w:sz w:val="20"/>
              </w:rPr>
              <w:t xml:space="preserve">49</w:t>
            </w:r>
          </w:p>
        </w:tc>
        <w:tc>
          <w:tcPr>
            <w:tcW w:w="3742" w:type="dxa"/>
            <w:vAlign w:val="center"/>
            <w:vMerge w:val="restart"/>
          </w:tcPr>
          <w:p>
            <w:pPr>
              <w:pStyle w:val="0"/>
            </w:pPr>
            <w:r>
              <w:rPr>
                <w:sz w:val="20"/>
              </w:rPr>
              <w:t xml:space="preserve">Оказание услуг по забою и транспортировке скота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50</w:t>
            </w:r>
          </w:p>
        </w:tc>
        <w:tc>
          <w:tcPr>
            <w:tcW w:w="3742" w:type="dxa"/>
            <w:vAlign w:val="center"/>
            <w:vMerge w:val="restart"/>
          </w:tcPr>
          <w:p>
            <w:pPr>
              <w:pStyle w:val="0"/>
            </w:pPr>
            <w:r>
              <w:rPr>
                <w:sz w:val="20"/>
              </w:rPr>
              <w:t xml:space="preserve">Производство кожи и изделий из кожи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51</w:t>
            </w:r>
          </w:p>
        </w:tc>
        <w:tc>
          <w:tcPr>
            <w:tcW w:w="3742" w:type="dxa"/>
            <w:vAlign w:val="center"/>
            <w:vMerge w:val="restart"/>
          </w:tcPr>
          <w:p>
            <w:pPr>
              <w:pStyle w:val="0"/>
            </w:pPr>
            <w:r>
              <w:rPr>
                <w:sz w:val="20"/>
              </w:rPr>
              <w:t xml:space="preserve">Сбор и заготовка пищевых лесных ресурсов, недревесных лесных ресурсов и лекарственных растений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52</w:t>
            </w:r>
          </w:p>
        </w:tc>
        <w:tc>
          <w:tcPr>
            <w:tcW w:w="3742" w:type="dxa"/>
            <w:vAlign w:val="center"/>
            <w:vMerge w:val="restart"/>
          </w:tcPr>
          <w:p>
            <w:pPr>
              <w:pStyle w:val="0"/>
            </w:pPr>
            <w:r>
              <w:rPr>
                <w:sz w:val="20"/>
              </w:rPr>
              <w:t xml:space="preserve">Переработка и консервирование фруктов и овощей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53</w:t>
            </w:r>
          </w:p>
        </w:tc>
        <w:tc>
          <w:tcPr>
            <w:tcW w:w="3742" w:type="dxa"/>
            <w:vAlign w:val="center"/>
            <w:vMerge w:val="restart"/>
          </w:tcPr>
          <w:p>
            <w:pPr>
              <w:pStyle w:val="0"/>
            </w:pPr>
            <w:r>
              <w:rPr>
                <w:sz w:val="20"/>
              </w:rPr>
              <w:t xml:space="preserve">Производство молочной продукции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54</w:t>
            </w:r>
          </w:p>
        </w:tc>
        <w:tc>
          <w:tcPr>
            <w:tcW w:w="3742" w:type="dxa"/>
            <w:vAlign w:val="center"/>
            <w:vMerge w:val="restart"/>
          </w:tcPr>
          <w:p>
            <w:pPr>
              <w:pStyle w:val="0"/>
            </w:pPr>
            <w:r>
              <w:rPr>
                <w:sz w:val="20"/>
              </w:rPr>
              <w:t xml:space="preserve">Растениеводство, услуги в области растениеводства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55</w:t>
            </w:r>
          </w:p>
        </w:tc>
        <w:tc>
          <w:tcPr>
            <w:tcW w:w="3742" w:type="dxa"/>
            <w:vAlign w:val="center"/>
            <w:vMerge w:val="restart"/>
          </w:tcPr>
          <w:p>
            <w:pPr>
              <w:pStyle w:val="0"/>
            </w:pPr>
            <w:r>
              <w:rPr>
                <w:sz w:val="20"/>
              </w:rPr>
              <w:t xml:space="preserve">Производство хлебобулочных и мучных кондитерских изделий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56</w:t>
            </w:r>
          </w:p>
        </w:tc>
        <w:tc>
          <w:tcPr>
            <w:tcW w:w="3742" w:type="dxa"/>
            <w:vAlign w:val="center"/>
            <w:vMerge w:val="restart"/>
          </w:tcPr>
          <w:p>
            <w:pPr>
              <w:pStyle w:val="0"/>
            </w:pPr>
            <w:r>
              <w:rPr>
                <w:sz w:val="20"/>
              </w:rPr>
              <w:t xml:space="preserve">Рыболовство и рыбоводство, рыболовство любительское и спортивное</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1 052 000</w:t>
            </w:r>
          </w:p>
        </w:tc>
        <w:tc>
          <w:tcPr>
            <w:tcW w:w="1474" w:type="dxa"/>
            <w:vAlign w:val="center"/>
          </w:tcPr>
          <w:p>
            <w:pPr>
              <w:pStyle w:val="0"/>
              <w:jc w:val="center"/>
            </w:pPr>
            <w:r>
              <w:rPr>
                <w:sz w:val="20"/>
              </w:rPr>
              <w:t xml:space="preserve">1 036 400</w:t>
            </w:r>
          </w:p>
        </w:tc>
        <w:tc>
          <w:tcPr>
            <w:tcW w:w="1474" w:type="dxa"/>
            <w:vAlign w:val="center"/>
          </w:tcPr>
          <w:p>
            <w:pPr>
              <w:pStyle w:val="0"/>
              <w:jc w:val="center"/>
            </w:pPr>
            <w:r>
              <w:rPr>
                <w:sz w:val="20"/>
              </w:rPr>
              <w:t xml:space="preserve">1 014 200</w:t>
            </w:r>
          </w:p>
        </w:tc>
        <w:tc>
          <w:tcPr>
            <w:tcW w:w="1474" w:type="dxa"/>
            <w:vAlign w:val="center"/>
          </w:tcPr>
          <w:p>
            <w:pPr>
              <w:pStyle w:val="0"/>
              <w:jc w:val="center"/>
            </w:pPr>
            <w:r>
              <w:rPr>
                <w:sz w:val="20"/>
              </w:rPr>
              <w:t xml:space="preserve">975 800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202 000</w:t>
            </w:r>
          </w:p>
        </w:tc>
        <w:tc>
          <w:tcPr>
            <w:tcW w:w="1474" w:type="dxa"/>
            <w:vAlign w:val="center"/>
          </w:tcPr>
          <w:p>
            <w:pPr>
              <w:pStyle w:val="0"/>
              <w:jc w:val="center"/>
            </w:pPr>
            <w:r>
              <w:rPr>
                <w:sz w:val="20"/>
              </w:rPr>
              <w:t xml:space="preserve">176 000</w:t>
            </w:r>
          </w:p>
        </w:tc>
        <w:tc>
          <w:tcPr>
            <w:tcW w:w="1474" w:type="dxa"/>
            <w:vAlign w:val="center"/>
          </w:tcPr>
          <w:p>
            <w:pPr>
              <w:pStyle w:val="0"/>
              <w:jc w:val="center"/>
            </w:pPr>
            <w:r>
              <w:rPr>
                <w:sz w:val="20"/>
              </w:rPr>
              <w:t xml:space="preserve">139 000</w:t>
            </w:r>
          </w:p>
        </w:tc>
        <w:tc>
          <w:tcPr>
            <w:tcW w:w="1474" w:type="dxa"/>
            <w:vAlign w:val="center"/>
          </w:tcPr>
          <w:p>
            <w:pPr>
              <w:pStyle w:val="0"/>
              <w:jc w:val="center"/>
            </w:pPr>
            <w:r>
              <w:rPr>
                <w:sz w:val="20"/>
              </w:rPr>
              <w:t xml:space="preserve">75 000</w:t>
            </w:r>
          </w:p>
        </w:tc>
      </w:tr>
      <w:tr>
        <w:tc>
          <w:tcPr>
            <w:tcW w:w="680" w:type="dxa"/>
            <w:vAlign w:val="center"/>
            <w:vMerge w:val="restart"/>
          </w:tcPr>
          <w:p>
            <w:pPr>
              <w:pStyle w:val="0"/>
              <w:jc w:val="center"/>
            </w:pPr>
            <w:r>
              <w:rPr>
                <w:sz w:val="20"/>
              </w:rPr>
              <w:t xml:space="preserve">57</w:t>
            </w:r>
          </w:p>
        </w:tc>
        <w:tc>
          <w:tcPr>
            <w:tcW w:w="3742" w:type="dxa"/>
            <w:vAlign w:val="center"/>
            <w:vMerge w:val="restart"/>
          </w:tcPr>
          <w:p>
            <w:pPr>
              <w:pStyle w:val="0"/>
            </w:pPr>
            <w:r>
              <w:rPr>
                <w:sz w:val="20"/>
              </w:rPr>
              <w:t xml:space="preserve">Лесоводство и прочая лесохозяйственная деятельность</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58</w:t>
            </w:r>
          </w:p>
        </w:tc>
        <w:tc>
          <w:tcPr>
            <w:tcW w:w="3742" w:type="dxa"/>
            <w:vAlign w:val="center"/>
            <w:vMerge w:val="restart"/>
          </w:tcPr>
          <w:p>
            <w:pPr>
              <w:pStyle w:val="0"/>
            </w:pPr>
            <w:r>
              <w:rPr>
                <w:sz w:val="20"/>
              </w:rPr>
              <w:t xml:space="preserve">Деятельность по письменному и устному переводу</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1 155 900</w:t>
            </w:r>
          </w:p>
        </w:tc>
        <w:tc>
          <w:tcPr>
            <w:tcW w:w="1474" w:type="dxa"/>
            <w:vAlign w:val="center"/>
          </w:tcPr>
          <w:p>
            <w:pPr>
              <w:pStyle w:val="0"/>
              <w:jc w:val="center"/>
            </w:pPr>
            <w:r>
              <w:rPr>
                <w:sz w:val="20"/>
              </w:rPr>
              <w:t xml:space="preserve">1 055 600</w:t>
            </w:r>
          </w:p>
        </w:tc>
        <w:tc>
          <w:tcPr>
            <w:tcW w:w="1474" w:type="dxa"/>
            <w:vAlign w:val="center"/>
          </w:tcPr>
          <w:p>
            <w:pPr>
              <w:pStyle w:val="0"/>
              <w:jc w:val="center"/>
            </w:pPr>
            <w:r>
              <w:rPr>
                <w:sz w:val="20"/>
              </w:rPr>
              <w:t xml:space="preserve">1 029 800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375 200</w:t>
            </w:r>
          </w:p>
        </w:tc>
        <w:tc>
          <w:tcPr>
            <w:tcW w:w="1474" w:type="dxa"/>
            <w:vAlign w:val="center"/>
          </w:tcPr>
          <w:p>
            <w:pPr>
              <w:pStyle w:val="0"/>
              <w:jc w:val="center"/>
            </w:pPr>
            <w:r>
              <w:rPr>
                <w:sz w:val="20"/>
              </w:rPr>
              <w:t xml:space="preserve">208 000</w:t>
            </w:r>
          </w:p>
        </w:tc>
        <w:tc>
          <w:tcPr>
            <w:tcW w:w="1474" w:type="dxa"/>
            <w:vAlign w:val="center"/>
          </w:tcPr>
          <w:p>
            <w:pPr>
              <w:pStyle w:val="0"/>
              <w:jc w:val="center"/>
            </w:pPr>
            <w:r>
              <w:rPr>
                <w:sz w:val="20"/>
              </w:rPr>
              <w:t xml:space="preserve">165 000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59</w:t>
            </w:r>
          </w:p>
        </w:tc>
        <w:tc>
          <w:tcPr>
            <w:tcW w:w="3742" w:type="dxa"/>
            <w:vAlign w:val="center"/>
            <w:vMerge w:val="restart"/>
          </w:tcPr>
          <w:p>
            <w:pPr>
              <w:pStyle w:val="0"/>
            </w:pPr>
            <w:r>
              <w:rPr>
                <w:sz w:val="20"/>
              </w:rPr>
              <w:t xml:space="preserve">Деятельность по уходу за престарелыми и инвалидами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1 056 200</w:t>
            </w:r>
          </w:p>
        </w:tc>
        <w:tc>
          <w:tcPr>
            <w:tcW w:w="1474" w:type="dxa"/>
            <w:vAlign w:val="center"/>
          </w:tcPr>
          <w:p>
            <w:pPr>
              <w:pStyle w:val="0"/>
              <w:jc w:val="center"/>
            </w:pPr>
            <w:r>
              <w:rPr>
                <w:sz w:val="20"/>
              </w:rPr>
              <w:t xml:space="preserve">1 030 400</w:t>
            </w:r>
          </w:p>
        </w:tc>
        <w:tc>
          <w:tcPr>
            <w:tcW w:w="1474" w:type="dxa"/>
            <w:vAlign w:val="center"/>
          </w:tcPr>
          <w:p>
            <w:pPr>
              <w:pStyle w:val="0"/>
              <w:jc w:val="center"/>
            </w:pPr>
            <w:r>
              <w:rPr>
                <w:sz w:val="20"/>
              </w:rPr>
              <w:t xml:space="preserve">984 200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209 000</w:t>
            </w:r>
          </w:p>
        </w:tc>
        <w:tc>
          <w:tcPr>
            <w:tcW w:w="1474" w:type="dxa"/>
            <w:vAlign w:val="center"/>
          </w:tcPr>
          <w:p>
            <w:pPr>
              <w:pStyle w:val="0"/>
              <w:jc w:val="center"/>
            </w:pPr>
            <w:r>
              <w:rPr>
                <w:sz w:val="20"/>
              </w:rPr>
              <w:t xml:space="preserve">166 000</w:t>
            </w:r>
          </w:p>
        </w:tc>
        <w:tc>
          <w:tcPr>
            <w:tcW w:w="1474" w:type="dxa"/>
            <w:vAlign w:val="center"/>
          </w:tcPr>
          <w:p>
            <w:pPr>
              <w:pStyle w:val="0"/>
              <w:jc w:val="center"/>
            </w:pPr>
            <w:r>
              <w:rPr>
                <w:sz w:val="20"/>
              </w:rPr>
              <w:t xml:space="preserve">89 000</w:t>
            </w:r>
          </w:p>
        </w:tc>
      </w:tr>
      <w:tr>
        <w:tc>
          <w:tcPr>
            <w:tcW w:w="680" w:type="dxa"/>
            <w:vAlign w:val="center"/>
            <w:vMerge w:val="restart"/>
          </w:tcPr>
          <w:p>
            <w:pPr>
              <w:pStyle w:val="0"/>
              <w:jc w:val="center"/>
            </w:pPr>
            <w:r>
              <w:rPr>
                <w:sz w:val="20"/>
              </w:rPr>
              <w:t xml:space="preserve">60</w:t>
            </w:r>
          </w:p>
        </w:tc>
        <w:tc>
          <w:tcPr>
            <w:tcW w:w="3742" w:type="dxa"/>
            <w:vAlign w:val="center"/>
            <w:vMerge w:val="restart"/>
          </w:tcPr>
          <w:p>
            <w:pPr>
              <w:pStyle w:val="0"/>
            </w:pPr>
            <w:r>
              <w:rPr>
                <w:sz w:val="20"/>
              </w:rPr>
              <w:t xml:space="preserve">Сбор, обработка и утилизация отходов, а также обработка вторичного сырья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1 056 200</w:t>
            </w:r>
          </w:p>
        </w:tc>
        <w:tc>
          <w:tcPr>
            <w:tcW w:w="1474" w:type="dxa"/>
            <w:vAlign w:val="center"/>
          </w:tcPr>
          <w:p>
            <w:pPr>
              <w:pStyle w:val="0"/>
              <w:jc w:val="center"/>
            </w:pPr>
            <w:r>
              <w:rPr>
                <w:sz w:val="20"/>
              </w:rPr>
              <w:t xml:space="preserve">1 028 000</w:t>
            </w:r>
          </w:p>
        </w:tc>
        <w:tc>
          <w:tcPr>
            <w:tcW w:w="1474" w:type="dxa"/>
            <w:vAlign w:val="center"/>
          </w:tcPr>
          <w:p>
            <w:pPr>
              <w:pStyle w:val="0"/>
              <w:jc w:val="center"/>
            </w:pPr>
            <w:r>
              <w:rPr>
                <w:sz w:val="20"/>
              </w:rPr>
              <w:t xml:space="preserve">983 600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209 000</w:t>
            </w:r>
          </w:p>
        </w:tc>
        <w:tc>
          <w:tcPr>
            <w:tcW w:w="1474" w:type="dxa"/>
            <w:vAlign w:val="center"/>
          </w:tcPr>
          <w:p>
            <w:pPr>
              <w:pStyle w:val="0"/>
              <w:jc w:val="center"/>
            </w:pPr>
            <w:r>
              <w:rPr>
                <w:sz w:val="20"/>
              </w:rPr>
              <w:t xml:space="preserve">162 000</w:t>
            </w:r>
          </w:p>
        </w:tc>
        <w:tc>
          <w:tcPr>
            <w:tcW w:w="1474" w:type="dxa"/>
            <w:vAlign w:val="center"/>
          </w:tcPr>
          <w:p>
            <w:pPr>
              <w:pStyle w:val="0"/>
              <w:jc w:val="center"/>
            </w:pPr>
            <w:r>
              <w:rPr>
                <w:sz w:val="20"/>
              </w:rPr>
              <w:t xml:space="preserve">88 000</w:t>
            </w:r>
          </w:p>
        </w:tc>
      </w:tr>
      <w:tr>
        <w:tc>
          <w:tcPr>
            <w:tcW w:w="680" w:type="dxa"/>
            <w:vAlign w:val="center"/>
            <w:vMerge w:val="restart"/>
          </w:tcPr>
          <w:p>
            <w:pPr>
              <w:pStyle w:val="0"/>
              <w:jc w:val="center"/>
            </w:pPr>
            <w:r>
              <w:rPr>
                <w:sz w:val="20"/>
              </w:rPr>
              <w:t xml:space="preserve">61</w:t>
            </w:r>
          </w:p>
        </w:tc>
        <w:tc>
          <w:tcPr>
            <w:tcW w:w="3742" w:type="dxa"/>
            <w:vAlign w:val="center"/>
            <w:vMerge w:val="restart"/>
          </w:tcPr>
          <w:p>
            <w:pPr>
              <w:pStyle w:val="0"/>
            </w:pPr>
            <w:r>
              <w:rPr>
                <w:sz w:val="20"/>
              </w:rPr>
              <w:t xml:space="preserve">Резка, обработка и отделка камня для памятников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1 427 600</w:t>
            </w:r>
          </w:p>
        </w:tc>
        <w:tc>
          <w:tcPr>
            <w:tcW w:w="1474" w:type="dxa"/>
            <w:vAlign w:val="center"/>
          </w:tcPr>
          <w:p>
            <w:pPr>
              <w:pStyle w:val="0"/>
              <w:jc w:val="center"/>
            </w:pPr>
            <w:r>
              <w:rPr>
                <w:sz w:val="20"/>
              </w:rPr>
              <w:t xml:space="preserve">1 206 800</w:t>
            </w:r>
          </w:p>
        </w:tc>
        <w:tc>
          <w:tcPr>
            <w:tcW w:w="1474" w:type="dxa"/>
            <w:vAlign w:val="center"/>
          </w:tcPr>
          <w:p>
            <w:pPr>
              <w:pStyle w:val="0"/>
              <w:jc w:val="center"/>
            </w:pPr>
            <w:r>
              <w:rPr>
                <w:sz w:val="20"/>
              </w:rPr>
              <w:t xml:space="preserve">1 148 600</w:t>
            </w:r>
          </w:p>
        </w:tc>
        <w:tc>
          <w:tcPr>
            <w:tcW w:w="1474" w:type="dxa"/>
            <w:vAlign w:val="center"/>
          </w:tcPr>
          <w:p>
            <w:pPr>
              <w:pStyle w:val="0"/>
              <w:jc w:val="center"/>
            </w:pPr>
            <w:r>
              <w:rPr>
                <w:sz w:val="20"/>
              </w:rPr>
              <w:t xml:space="preserve">1 047 800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828 000</w:t>
            </w:r>
          </w:p>
        </w:tc>
        <w:tc>
          <w:tcPr>
            <w:tcW w:w="1474" w:type="dxa"/>
            <w:vAlign w:val="center"/>
          </w:tcPr>
          <w:p>
            <w:pPr>
              <w:pStyle w:val="0"/>
              <w:jc w:val="center"/>
            </w:pPr>
            <w:r>
              <w:rPr>
                <w:sz w:val="20"/>
              </w:rPr>
              <w:t xml:space="preserve">460 000</w:t>
            </w:r>
          </w:p>
        </w:tc>
        <w:tc>
          <w:tcPr>
            <w:tcW w:w="1474" w:type="dxa"/>
            <w:vAlign w:val="center"/>
          </w:tcPr>
          <w:p>
            <w:pPr>
              <w:pStyle w:val="0"/>
              <w:jc w:val="center"/>
            </w:pPr>
            <w:r>
              <w:rPr>
                <w:sz w:val="20"/>
              </w:rPr>
              <w:t xml:space="preserve">363 000</w:t>
            </w:r>
          </w:p>
        </w:tc>
        <w:tc>
          <w:tcPr>
            <w:tcW w:w="1474" w:type="dxa"/>
            <w:vAlign w:val="center"/>
          </w:tcPr>
          <w:p>
            <w:pPr>
              <w:pStyle w:val="0"/>
              <w:jc w:val="center"/>
            </w:pPr>
            <w:r>
              <w:rPr>
                <w:sz w:val="20"/>
              </w:rPr>
              <w:t xml:space="preserve">195 000</w:t>
            </w:r>
          </w:p>
        </w:tc>
      </w:tr>
      <w:tr>
        <w:tc>
          <w:tcPr>
            <w:tcW w:w="680" w:type="dxa"/>
            <w:vAlign w:val="center"/>
            <w:vMerge w:val="restart"/>
          </w:tcPr>
          <w:p>
            <w:pPr>
              <w:pStyle w:val="0"/>
              <w:jc w:val="center"/>
            </w:pPr>
            <w:r>
              <w:rPr>
                <w:sz w:val="20"/>
              </w:rPr>
              <w:t xml:space="preserve">62</w:t>
            </w:r>
          </w:p>
        </w:tc>
        <w:tc>
          <w:tcPr>
            <w:tcW w:w="3742" w:type="dxa"/>
            <w:vAlign w:val="center"/>
            <w:vMerge w:val="restart"/>
          </w:tcPr>
          <w:p>
            <w:pPr>
              <w:pStyle w:val="0"/>
            </w:pPr>
            <w:r>
              <w:rPr>
                <w:sz w:val="20"/>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2 056 400</w:t>
            </w:r>
          </w:p>
        </w:tc>
        <w:tc>
          <w:tcPr>
            <w:tcW w:w="1474" w:type="dxa"/>
            <w:vAlign w:val="center"/>
          </w:tcPr>
          <w:p>
            <w:pPr>
              <w:pStyle w:val="0"/>
              <w:jc w:val="center"/>
            </w:pPr>
            <w:r>
              <w:rPr>
                <w:sz w:val="20"/>
              </w:rPr>
              <w:t xml:space="preserve">1 556 000</w:t>
            </w:r>
          </w:p>
        </w:tc>
        <w:tc>
          <w:tcPr>
            <w:tcW w:w="1474" w:type="dxa"/>
            <w:vAlign w:val="center"/>
          </w:tcPr>
          <w:p>
            <w:pPr>
              <w:pStyle w:val="0"/>
              <w:jc w:val="center"/>
            </w:pPr>
            <w:r>
              <w:rPr>
                <w:sz w:val="20"/>
              </w:rPr>
              <w:t xml:space="preserve">1 421 600</w:t>
            </w:r>
          </w:p>
        </w:tc>
        <w:tc>
          <w:tcPr>
            <w:tcW w:w="1474" w:type="dxa"/>
            <w:vAlign w:val="center"/>
          </w:tcPr>
          <w:p>
            <w:pPr>
              <w:pStyle w:val="0"/>
              <w:jc w:val="center"/>
            </w:pPr>
            <w:r>
              <w:rPr>
                <w:sz w:val="20"/>
              </w:rPr>
              <w:t xml:space="preserve">1 194 800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1 876 000</w:t>
            </w:r>
          </w:p>
        </w:tc>
        <w:tc>
          <w:tcPr>
            <w:tcW w:w="1474" w:type="dxa"/>
            <w:vAlign w:val="center"/>
          </w:tcPr>
          <w:p>
            <w:pPr>
              <w:pStyle w:val="0"/>
              <w:jc w:val="center"/>
            </w:pPr>
            <w:r>
              <w:rPr>
                <w:sz w:val="20"/>
              </w:rPr>
              <w:t xml:space="preserve">1 042 000</w:t>
            </w:r>
          </w:p>
        </w:tc>
        <w:tc>
          <w:tcPr>
            <w:tcW w:w="1474" w:type="dxa"/>
            <w:vAlign w:val="center"/>
          </w:tcPr>
          <w:p>
            <w:pPr>
              <w:pStyle w:val="0"/>
              <w:jc w:val="center"/>
            </w:pPr>
            <w:r>
              <w:rPr>
                <w:sz w:val="20"/>
              </w:rPr>
              <w:t xml:space="preserve">818 000</w:t>
            </w:r>
          </w:p>
        </w:tc>
        <w:tc>
          <w:tcPr>
            <w:tcW w:w="1474" w:type="dxa"/>
            <w:vAlign w:val="center"/>
          </w:tcPr>
          <w:p>
            <w:pPr>
              <w:pStyle w:val="0"/>
              <w:jc w:val="center"/>
            </w:pPr>
            <w:r>
              <w:rPr>
                <w:sz w:val="20"/>
              </w:rPr>
              <w:t xml:space="preserve">440 000</w:t>
            </w:r>
          </w:p>
        </w:tc>
      </w:tr>
      <w:tr>
        <w:tc>
          <w:tcPr>
            <w:tcW w:w="680" w:type="dxa"/>
            <w:vAlign w:val="center"/>
            <w:vMerge w:val="restart"/>
          </w:tcPr>
          <w:p>
            <w:pPr>
              <w:pStyle w:val="0"/>
              <w:jc w:val="center"/>
            </w:pPr>
            <w:r>
              <w:rPr>
                <w:sz w:val="20"/>
              </w:rPr>
              <w:t xml:space="preserve">63</w:t>
            </w:r>
          </w:p>
        </w:tc>
        <w:tc>
          <w:tcPr>
            <w:tcW w:w="3742" w:type="dxa"/>
            <w:vAlign w:val="center"/>
            <w:vMerge w:val="restart"/>
          </w:tcPr>
          <w:p>
            <w:pPr>
              <w:pStyle w:val="0"/>
            </w:pPr>
            <w:r>
              <w:rPr>
                <w:sz w:val="20"/>
              </w:rPr>
              <w:t xml:space="preserve">Ремонт компьютеров и коммуникационного оборудования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1 143 800</w:t>
            </w:r>
          </w:p>
        </w:tc>
        <w:tc>
          <w:tcPr>
            <w:tcW w:w="1474" w:type="dxa"/>
            <w:vAlign w:val="center"/>
          </w:tcPr>
          <w:p>
            <w:pPr>
              <w:pStyle w:val="0"/>
              <w:jc w:val="center"/>
            </w:pPr>
            <w:r>
              <w:rPr>
                <w:sz w:val="20"/>
              </w:rPr>
              <w:t xml:space="preserve">1 025 600</w:t>
            </w:r>
          </w:p>
        </w:tc>
        <w:tc>
          <w:tcPr>
            <w:tcW w:w="1474" w:type="dxa"/>
            <w:vAlign w:val="center"/>
          </w:tcPr>
          <w:p>
            <w:pPr>
              <w:pStyle w:val="0"/>
              <w:jc w:val="center"/>
            </w:pPr>
            <w:r>
              <w:rPr>
                <w:sz w:val="20"/>
              </w:rPr>
              <w:t xml:space="preserve">1 004 000</w:t>
            </w:r>
          </w:p>
        </w:tc>
        <w:tc>
          <w:tcPr>
            <w:tcW w:w="1474" w:type="dxa"/>
            <w:vAlign w:val="center"/>
          </w:tcPr>
          <w:p>
            <w:pPr>
              <w:pStyle w:val="0"/>
              <w:jc w:val="center"/>
            </w:pPr>
            <w:r>
              <w:rPr>
                <w:sz w:val="20"/>
              </w:rPr>
              <w:t xml:space="preserve">990 200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355 000</w:t>
            </w:r>
          </w:p>
        </w:tc>
        <w:tc>
          <w:tcPr>
            <w:tcW w:w="1474" w:type="dxa"/>
            <w:vAlign w:val="center"/>
          </w:tcPr>
          <w:p>
            <w:pPr>
              <w:pStyle w:val="0"/>
              <w:jc w:val="center"/>
            </w:pPr>
            <w:r>
              <w:rPr>
                <w:sz w:val="20"/>
              </w:rPr>
              <w:t xml:space="preserve">158 000</w:t>
            </w:r>
          </w:p>
        </w:tc>
        <w:tc>
          <w:tcPr>
            <w:tcW w:w="1474" w:type="dxa"/>
            <w:vAlign w:val="center"/>
          </w:tcPr>
          <w:p>
            <w:pPr>
              <w:pStyle w:val="0"/>
              <w:jc w:val="center"/>
            </w:pPr>
            <w:r>
              <w:rPr>
                <w:sz w:val="20"/>
              </w:rPr>
              <w:t xml:space="preserve">122 000</w:t>
            </w:r>
          </w:p>
        </w:tc>
        <w:tc>
          <w:tcPr>
            <w:tcW w:w="1474" w:type="dxa"/>
            <w:vAlign w:val="center"/>
          </w:tcPr>
          <w:p>
            <w:pPr>
              <w:pStyle w:val="0"/>
              <w:jc w:val="center"/>
            </w:pPr>
            <w:r>
              <w:rPr>
                <w:sz w:val="20"/>
              </w:rPr>
              <w:t xml:space="preserve">99 000</w:t>
            </w:r>
          </w:p>
        </w:tc>
      </w:tr>
      <w:tr>
        <w:tc>
          <w:tcPr>
            <w:tcW w:w="680" w:type="dxa"/>
            <w:vAlign w:val="center"/>
            <w:vMerge w:val="restart"/>
          </w:tcPr>
          <w:bookmarkStart w:id="1834" w:name="P1834"/>
          <w:bookmarkEnd w:id="1834"/>
          <w:p>
            <w:pPr>
              <w:pStyle w:val="0"/>
              <w:jc w:val="center"/>
            </w:pPr>
            <w:r>
              <w:rPr>
                <w:sz w:val="20"/>
              </w:rPr>
              <w:t xml:space="preserve">64</w:t>
            </w:r>
          </w:p>
        </w:tc>
        <w:tc>
          <w:tcPr>
            <w:tcW w:w="3742" w:type="dxa"/>
            <w:vAlign w:val="center"/>
            <w:vMerge w:val="restart"/>
          </w:tcPr>
          <w:p>
            <w:pPr>
              <w:pStyle w:val="0"/>
            </w:pPr>
            <w:r>
              <w:rPr>
                <w:sz w:val="20"/>
              </w:rPr>
              <w:t xml:space="preserve">Животноводство, услуги в области животноводства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tcPr>
          <w:bookmarkStart w:id="1846" w:name="P1846"/>
          <w:bookmarkEnd w:id="1846"/>
          <w:p>
            <w:pPr>
              <w:pStyle w:val="0"/>
              <w:jc w:val="center"/>
            </w:pPr>
            <w:r>
              <w:rPr>
                <w:sz w:val="20"/>
              </w:rPr>
              <w:t xml:space="preserve">65</w:t>
            </w:r>
          </w:p>
        </w:tc>
        <w:tc>
          <w:tcPr>
            <w:tcW w:w="3742" w:type="dxa"/>
            <w:vAlign w:val="center"/>
          </w:tcPr>
          <w:p>
            <w:pPr>
              <w:pStyle w:val="0"/>
            </w:pPr>
            <w:r>
              <w:rPr>
                <w:sz w:val="20"/>
              </w:rPr>
              <w:t xml:space="preserve">Деятельность стоянок для транспортных средств</w:t>
            </w:r>
          </w:p>
        </w:tc>
        <w:tc>
          <w:tcPr>
            <w:tcW w:w="3288" w:type="dxa"/>
            <w:vAlign w:val="center"/>
          </w:tcPr>
          <w:p>
            <w:pPr>
              <w:pStyle w:val="0"/>
            </w:pPr>
            <w:r>
              <w:rPr>
                <w:sz w:val="20"/>
              </w:rPr>
              <w:t xml:space="preserve">на 1 квадратный метр площади стоянки для транспортных средств</w:t>
            </w:r>
          </w:p>
        </w:tc>
        <w:tc>
          <w:tcPr>
            <w:tcW w:w="1474" w:type="dxa"/>
            <w:vAlign w:val="center"/>
          </w:tcPr>
          <w:p>
            <w:pPr>
              <w:pStyle w:val="0"/>
              <w:jc w:val="center"/>
            </w:pPr>
            <w:r>
              <w:rPr>
                <w:sz w:val="20"/>
              </w:rPr>
              <w:t xml:space="preserve">3 000</w:t>
            </w:r>
          </w:p>
        </w:tc>
        <w:tc>
          <w:tcPr>
            <w:tcW w:w="1474" w:type="dxa"/>
            <w:vAlign w:val="center"/>
          </w:tcPr>
          <w:p>
            <w:pPr>
              <w:pStyle w:val="0"/>
              <w:jc w:val="center"/>
            </w:pPr>
            <w:r>
              <w:rPr>
                <w:sz w:val="20"/>
              </w:rPr>
              <w:t xml:space="preserve">3 000</w:t>
            </w:r>
          </w:p>
        </w:tc>
        <w:tc>
          <w:tcPr>
            <w:tcW w:w="1474" w:type="dxa"/>
            <w:vAlign w:val="center"/>
          </w:tcPr>
          <w:p>
            <w:pPr>
              <w:pStyle w:val="0"/>
              <w:jc w:val="center"/>
            </w:pPr>
            <w:r>
              <w:rPr>
                <w:sz w:val="20"/>
              </w:rPr>
              <w:t xml:space="preserve">3 000</w:t>
            </w:r>
          </w:p>
        </w:tc>
        <w:tc>
          <w:tcPr>
            <w:tcW w:w="1474" w:type="dxa"/>
            <w:vAlign w:val="center"/>
          </w:tcPr>
          <w:p>
            <w:pPr>
              <w:pStyle w:val="0"/>
              <w:jc w:val="center"/>
            </w:pPr>
            <w:r>
              <w:rPr>
                <w:sz w:val="20"/>
              </w:rPr>
              <w:t xml:space="preserve">2 000</w:t>
            </w:r>
          </w:p>
        </w:tc>
      </w:tr>
      <w:tr>
        <w:tc>
          <w:tcPr>
            <w:tcW w:w="680" w:type="dxa"/>
            <w:vAlign w:val="center"/>
            <w:vMerge w:val="restart"/>
          </w:tcPr>
          <w:bookmarkStart w:id="1853" w:name="P1853"/>
          <w:bookmarkEnd w:id="1853"/>
          <w:p>
            <w:pPr>
              <w:pStyle w:val="0"/>
              <w:jc w:val="center"/>
            </w:pPr>
            <w:r>
              <w:rPr>
                <w:sz w:val="20"/>
              </w:rPr>
              <w:t xml:space="preserve">66</w:t>
            </w:r>
          </w:p>
        </w:tc>
        <w:tc>
          <w:tcPr>
            <w:tcW w:w="3742" w:type="dxa"/>
            <w:vAlign w:val="center"/>
            <w:vMerge w:val="restart"/>
          </w:tcPr>
          <w:p>
            <w:pPr>
              <w:pStyle w:val="0"/>
            </w:pPr>
            <w:r>
              <w:rPr>
                <w:sz w:val="20"/>
              </w:rPr>
              <w:t xml:space="preserve">Помол зерна, производство муки и крупы из зерен пшеницы, ржи, овса, кукурузы или прочих хлебных злаков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67</w:t>
            </w:r>
          </w:p>
        </w:tc>
        <w:tc>
          <w:tcPr>
            <w:tcW w:w="3742" w:type="dxa"/>
            <w:vAlign w:val="center"/>
            <w:vMerge w:val="restart"/>
          </w:tcPr>
          <w:p>
            <w:pPr>
              <w:pStyle w:val="0"/>
            </w:pPr>
            <w:r>
              <w:rPr>
                <w:sz w:val="20"/>
              </w:rPr>
              <w:t xml:space="preserve">Услуги по уходу за домашними животными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68</w:t>
            </w:r>
          </w:p>
        </w:tc>
        <w:tc>
          <w:tcPr>
            <w:tcW w:w="3742" w:type="dxa"/>
            <w:vAlign w:val="center"/>
            <w:vMerge w:val="restart"/>
          </w:tcPr>
          <w:p>
            <w:pPr>
              <w:pStyle w:val="0"/>
            </w:pPr>
            <w:r>
              <w:rPr>
                <w:sz w:val="20"/>
              </w:rPr>
              <w:t xml:space="preserve">Изготовление и ремонт бондарной посуды и гончарных изделий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69</w:t>
            </w:r>
          </w:p>
        </w:tc>
        <w:tc>
          <w:tcPr>
            <w:tcW w:w="3742" w:type="dxa"/>
            <w:vAlign w:val="center"/>
            <w:vMerge w:val="restart"/>
          </w:tcPr>
          <w:p>
            <w:pPr>
              <w:pStyle w:val="0"/>
            </w:pPr>
            <w:r>
              <w:rPr>
                <w:sz w:val="20"/>
              </w:rPr>
              <w:t xml:space="preserve">Услуги по изготовлению валяной обуви</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70</w:t>
            </w:r>
          </w:p>
        </w:tc>
        <w:tc>
          <w:tcPr>
            <w:tcW w:w="3742" w:type="dxa"/>
            <w:vAlign w:val="center"/>
            <w:vMerge w:val="restart"/>
          </w:tcPr>
          <w:p>
            <w:pPr>
              <w:pStyle w:val="0"/>
            </w:pPr>
            <w:r>
              <w:rPr>
                <w:sz w:val="20"/>
              </w:rPr>
              <w:t xml:space="preserve">Услуги по изготовлению сельскохозяйственного инвентаря из материала заказчика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71</w:t>
            </w:r>
          </w:p>
        </w:tc>
        <w:tc>
          <w:tcPr>
            <w:tcW w:w="3742" w:type="dxa"/>
            <w:vAlign w:val="center"/>
            <w:vMerge w:val="restart"/>
          </w:tcPr>
          <w:p>
            <w:pPr>
              <w:pStyle w:val="0"/>
            </w:pPr>
            <w:r>
              <w:rPr>
                <w:sz w:val="20"/>
              </w:rPr>
              <w:t xml:space="preserve">Граверные работы по металлу, стеклу, фарфору, дереву, керамике, кроме ювелирных изделий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72</w:t>
            </w:r>
          </w:p>
        </w:tc>
        <w:tc>
          <w:tcPr>
            <w:tcW w:w="3742" w:type="dxa"/>
            <w:vAlign w:val="center"/>
            <w:vMerge w:val="restart"/>
          </w:tcPr>
          <w:p>
            <w:pPr>
              <w:pStyle w:val="0"/>
            </w:pPr>
            <w:r>
              <w:rPr>
                <w:sz w:val="20"/>
              </w:rPr>
              <w:t xml:space="preserve">Изготовление и ремонт деревянных лодок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73</w:t>
            </w:r>
          </w:p>
        </w:tc>
        <w:tc>
          <w:tcPr>
            <w:tcW w:w="3742" w:type="dxa"/>
            <w:vAlign w:val="center"/>
            <w:vMerge w:val="restart"/>
          </w:tcPr>
          <w:p>
            <w:pPr>
              <w:pStyle w:val="0"/>
            </w:pPr>
            <w:r>
              <w:rPr>
                <w:sz w:val="20"/>
              </w:rPr>
              <w:t xml:space="preserve">Ремонт игрушек и подобных им изделий</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74</w:t>
            </w:r>
          </w:p>
        </w:tc>
        <w:tc>
          <w:tcPr>
            <w:tcW w:w="3742" w:type="dxa"/>
            <w:vAlign w:val="center"/>
            <w:vMerge w:val="restart"/>
          </w:tcPr>
          <w:p>
            <w:pPr>
              <w:pStyle w:val="0"/>
            </w:pPr>
            <w:r>
              <w:rPr>
                <w:sz w:val="20"/>
              </w:rPr>
              <w:t xml:space="preserve">Ремонт спортивного и туристического оборудования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75</w:t>
            </w:r>
          </w:p>
        </w:tc>
        <w:tc>
          <w:tcPr>
            <w:tcW w:w="3742" w:type="dxa"/>
            <w:vAlign w:val="center"/>
            <w:vMerge w:val="restart"/>
          </w:tcPr>
          <w:p>
            <w:pPr>
              <w:pStyle w:val="0"/>
            </w:pPr>
            <w:r>
              <w:rPr>
                <w:sz w:val="20"/>
              </w:rPr>
              <w:t xml:space="preserve">Услуги по вспашке огородов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76</w:t>
            </w:r>
          </w:p>
        </w:tc>
        <w:tc>
          <w:tcPr>
            <w:tcW w:w="3742" w:type="dxa"/>
            <w:vAlign w:val="center"/>
            <w:vMerge w:val="restart"/>
          </w:tcPr>
          <w:p>
            <w:pPr>
              <w:pStyle w:val="0"/>
            </w:pPr>
            <w:r>
              <w:rPr>
                <w:sz w:val="20"/>
              </w:rPr>
              <w:t xml:space="preserve">Услуги по распиловке дров по индивидуальному заказу населения</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77</w:t>
            </w:r>
          </w:p>
        </w:tc>
        <w:tc>
          <w:tcPr>
            <w:tcW w:w="3742" w:type="dxa"/>
            <w:vAlign w:val="center"/>
            <w:vMerge w:val="restart"/>
          </w:tcPr>
          <w:p>
            <w:pPr>
              <w:pStyle w:val="0"/>
            </w:pPr>
            <w:r>
              <w:rPr>
                <w:sz w:val="20"/>
              </w:rPr>
              <w:t xml:space="preserve">Сборка и ремонт очков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78</w:t>
            </w:r>
          </w:p>
        </w:tc>
        <w:tc>
          <w:tcPr>
            <w:tcW w:w="3742" w:type="dxa"/>
            <w:vAlign w:val="center"/>
            <w:vMerge w:val="restart"/>
          </w:tcPr>
          <w:p>
            <w:pPr>
              <w:pStyle w:val="0"/>
            </w:pPr>
            <w:r>
              <w:rPr>
                <w:sz w:val="20"/>
              </w:rPr>
              <w:t xml:space="preserve">Изготовление и печатание визитных карточек и пригласительных билетов на семейные торжества</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p>
            <w:pPr>
              <w:pStyle w:val="0"/>
              <w:jc w:val="center"/>
            </w:pPr>
            <w:r>
              <w:rPr>
                <w:sz w:val="20"/>
              </w:rPr>
              <w:t xml:space="preserve">79</w:t>
            </w:r>
          </w:p>
        </w:tc>
        <w:tc>
          <w:tcPr>
            <w:tcW w:w="3742" w:type="dxa"/>
            <w:vAlign w:val="center"/>
            <w:vMerge w:val="restart"/>
          </w:tcPr>
          <w:p>
            <w:pPr>
              <w:pStyle w:val="0"/>
            </w:pPr>
            <w:r>
              <w:rPr>
                <w:sz w:val="20"/>
              </w:rPr>
              <w:t xml:space="preserve">Переплетные, брошюровочные, окантовочные, картонажные работы</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r>
        <w:tc>
          <w:tcPr>
            <w:tcW w:w="680" w:type="dxa"/>
            <w:vAlign w:val="center"/>
            <w:vMerge w:val="restart"/>
          </w:tcPr>
          <w:bookmarkStart w:id="2021" w:name="P2021"/>
          <w:bookmarkEnd w:id="2021"/>
          <w:p>
            <w:pPr>
              <w:pStyle w:val="0"/>
              <w:jc w:val="center"/>
            </w:pPr>
            <w:r>
              <w:rPr>
                <w:sz w:val="20"/>
              </w:rPr>
              <w:t xml:space="preserve">80</w:t>
            </w:r>
          </w:p>
        </w:tc>
        <w:tc>
          <w:tcPr>
            <w:tcW w:w="3742" w:type="dxa"/>
            <w:vAlign w:val="center"/>
            <w:vMerge w:val="restart"/>
          </w:tcPr>
          <w:p>
            <w:pPr>
              <w:pStyle w:val="0"/>
            </w:pPr>
            <w:r>
              <w:rPr>
                <w:sz w:val="20"/>
              </w:rPr>
              <w:t xml:space="preserve">Услуги по ремонту сифонов и автосифонов, в том числе зарядка газовых баллончиков для сифонов</w:t>
            </w:r>
          </w:p>
        </w:tc>
        <w:tc>
          <w:tcPr>
            <w:tcW w:w="3288" w:type="dxa"/>
            <w:vAlign w:val="center"/>
          </w:tcPr>
          <w:p>
            <w:pPr>
              <w:pStyle w:val="0"/>
            </w:pPr>
            <w:r>
              <w:rPr>
                <w:sz w:val="20"/>
              </w:rPr>
              <w:t xml:space="preserve">без привлечения наемных работников</w:t>
            </w:r>
          </w:p>
        </w:tc>
        <w:tc>
          <w:tcPr>
            <w:tcW w:w="1474" w:type="dxa"/>
            <w:vAlign w:val="center"/>
          </w:tcPr>
          <w:p>
            <w:pPr>
              <w:pStyle w:val="0"/>
              <w:jc w:val="center"/>
            </w:pPr>
            <w:r>
              <w:rPr>
                <w:sz w:val="20"/>
              </w:rPr>
              <w:t xml:space="preserve">1 098 200</w:t>
            </w:r>
          </w:p>
        </w:tc>
        <w:tc>
          <w:tcPr>
            <w:tcW w:w="1474" w:type="dxa"/>
            <w:vAlign w:val="center"/>
          </w:tcPr>
          <w:p>
            <w:pPr>
              <w:pStyle w:val="0"/>
              <w:jc w:val="center"/>
            </w:pPr>
            <w:r>
              <w:rPr>
                <w:sz w:val="20"/>
              </w:rPr>
              <w:t xml:space="preserve">1 076 000</w:t>
            </w:r>
          </w:p>
        </w:tc>
        <w:tc>
          <w:tcPr>
            <w:tcW w:w="1474" w:type="dxa"/>
            <w:vAlign w:val="center"/>
          </w:tcPr>
          <w:p>
            <w:pPr>
              <w:pStyle w:val="0"/>
              <w:jc w:val="center"/>
            </w:pPr>
            <w:r>
              <w:rPr>
                <w:sz w:val="20"/>
              </w:rPr>
              <w:t xml:space="preserve">1 046 000</w:t>
            </w:r>
          </w:p>
        </w:tc>
        <w:tc>
          <w:tcPr>
            <w:tcW w:w="1474" w:type="dxa"/>
            <w:vAlign w:val="center"/>
          </w:tcPr>
          <w:p>
            <w:pPr>
              <w:pStyle w:val="0"/>
              <w:jc w:val="center"/>
            </w:pPr>
            <w:r>
              <w:rPr>
                <w:sz w:val="20"/>
              </w:rPr>
              <w:t xml:space="preserve">991 400</w:t>
            </w:r>
          </w:p>
        </w:tc>
      </w:tr>
      <w:tr>
        <w:tc>
          <w:tcPr>
            <w:vMerge w:val="continue"/>
          </w:tcPr>
          <w:p/>
        </w:tc>
        <w:tc>
          <w:tcPr>
            <w:vMerge w:val="continue"/>
          </w:tcPr>
          <w:p/>
        </w:tc>
        <w:tc>
          <w:tcPr>
            <w:tcW w:w="3288" w:type="dxa"/>
            <w:vAlign w:val="center"/>
          </w:tcPr>
          <w:p>
            <w:pPr>
              <w:pStyle w:val="0"/>
            </w:pPr>
            <w:r>
              <w:rPr>
                <w:sz w:val="20"/>
              </w:rPr>
              <w:t xml:space="preserve">на единицу средней численности наемных работников</w:t>
            </w:r>
          </w:p>
        </w:tc>
        <w:tc>
          <w:tcPr>
            <w:tcW w:w="1474" w:type="dxa"/>
            <w:vAlign w:val="center"/>
          </w:tcPr>
          <w:p>
            <w:pPr>
              <w:pStyle w:val="0"/>
              <w:jc w:val="center"/>
            </w:pPr>
            <w:r>
              <w:rPr>
                <w:sz w:val="20"/>
              </w:rPr>
              <w:t xml:space="preserve">279 000</w:t>
            </w:r>
          </w:p>
        </w:tc>
        <w:tc>
          <w:tcPr>
            <w:tcW w:w="1474" w:type="dxa"/>
            <w:vAlign w:val="center"/>
          </w:tcPr>
          <w:p>
            <w:pPr>
              <w:pStyle w:val="0"/>
              <w:jc w:val="center"/>
            </w:pPr>
            <w:r>
              <w:rPr>
                <w:sz w:val="20"/>
              </w:rPr>
              <w:t xml:space="preserve">242 000</w:t>
            </w:r>
          </w:p>
        </w:tc>
        <w:tc>
          <w:tcPr>
            <w:tcW w:w="1474" w:type="dxa"/>
            <w:vAlign w:val="center"/>
          </w:tcPr>
          <w:p>
            <w:pPr>
              <w:pStyle w:val="0"/>
              <w:jc w:val="center"/>
            </w:pPr>
            <w:r>
              <w:rPr>
                <w:sz w:val="20"/>
              </w:rPr>
              <w:t xml:space="preserve">192 000</w:t>
            </w:r>
          </w:p>
        </w:tc>
        <w:tc>
          <w:tcPr>
            <w:tcW w:w="1474" w:type="dxa"/>
            <w:vAlign w:val="center"/>
          </w:tcPr>
          <w:p>
            <w:pPr>
              <w:pStyle w:val="0"/>
              <w:jc w:val="center"/>
            </w:pPr>
            <w:r>
              <w:rPr>
                <w:sz w:val="20"/>
              </w:rPr>
              <w:t xml:space="preserve">101 000</w:t>
            </w:r>
          </w:p>
        </w:tc>
      </w:tr>
    </w:tbl>
    <w:p>
      <w:pPr>
        <w:sectPr>
          <w:headerReference w:type="default" r:id="rId507"/>
          <w:headerReference w:type="first" r:id="rId507"/>
          <w:footerReference w:type="default" r:id="rId508"/>
          <w:footerReference w:type="first" r:id="rId508"/>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Новосибирской области</w:t>
      </w:r>
    </w:p>
    <w:p>
      <w:pPr>
        <w:pStyle w:val="0"/>
        <w:jc w:val="right"/>
      </w:pPr>
      <w:r>
        <w:rPr>
          <w:sz w:val="20"/>
        </w:rPr>
        <w:t xml:space="preserve">"О налогах и особенностях</w:t>
      </w:r>
    </w:p>
    <w:p>
      <w:pPr>
        <w:pStyle w:val="0"/>
        <w:jc w:val="right"/>
      </w:pPr>
      <w:r>
        <w:rPr>
          <w:sz w:val="20"/>
        </w:rPr>
        <w:t xml:space="preserve">налогообложения отдельных</w:t>
      </w:r>
    </w:p>
    <w:p>
      <w:pPr>
        <w:pStyle w:val="0"/>
        <w:jc w:val="right"/>
      </w:pPr>
      <w:r>
        <w:rPr>
          <w:sz w:val="20"/>
        </w:rPr>
        <w:t xml:space="preserve">категорий налогоплательщиков</w:t>
      </w:r>
    </w:p>
    <w:p>
      <w:pPr>
        <w:pStyle w:val="0"/>
        <w:jc w:val="right"/>
      </w:pPr>
      <w:r>
        <w:rPr>
          <w:sz w:val="20"/>
        </w:rPr>
        <w:t xml:space="preserve">в Новосибирской области"</w:t>
      </w:r>
    </w:p>
    <w:p>
      <w:pPr>
        <w:pStyle w:val="0"/>
        <w:ind w:firstLine="540"/>
        <w:jc w:val="both"/>
      </w:pPr>
      <w:r>
        <w:rPr>
          <w:sz w:val="20"/>
        </w:rPr>
      </w:r>
    </w:p>
    <w:bookmarkStart w:id="2045" w:name="P2045"/>
    <w:bookmarkEnd w:id="2045"/>
    <w:p>
      <w:pPr>
        <w:pStyle w:val="2"/>
        <w:jc w:val="center"/>
      </w:pPr>
      <w:r>
        <w:rPr>
          <w:sz w:val="20"/>
        </w:rPr>
        <w:t xml:space="preserve">ПЕРЕЧЕНЬ</w:t>
      </w:r>
    </w:p>
    <w:p>
      <w:pPr>
        <w:pStyle w:val="2"/>
        <w:jc w:val="center"/>
      </w:pPr>
      <w:r>
        <w:rPr>
          <w:sz w:val="20"/>
        </w:rPr>
        <w:t xml:space="preserve">ВИДОВ ПРЕДПРИНИМАТЕЛЬСКОЙ ДЕЯТЕЛЬНОСТИ, В ОТНОШЕНИИ КОТОРЫХ</w:t>
      </w:r>
    </w:p>
    <w:p>
      <w:pPr>
        <w:pStyle w:val="2"/>
        <w:jc w:val="center"/>
      </w:pPr>
      <w:r>
        <w:rPr>
          <w:sz w:val="20"/>
        </w:rPr>
        <w:t xml:space="preserve">МОЖЕТ ПРИМЕНЯТЬСЯ ПАТЕНТНАЯ СИСТЕМА НАЛОГООБЛОЖЕНИЯ,</w:t>
      </w:r>
    </w:p>
    <w:p>
      <w:pPr>
        <w:pStyle w:val="2"/>
        <w:jc w:val="center"/>
      </w:pPr>
      <w:r>
        <w:rPr>
          <w:sz w:val="20"/>
        </w:rPr>
        <w:t xml:space="preserve">И РАЗМЕРЫ ПОТЕНЦИАЛЬНО ВОЗМОЖНОГО К ПОЛУЧЕНИЮ</w:t>
      </w:r>
    </w:p>
    <w:p>
      <w:pPr>
        <w:pStyle w:val="2"/>
        <w:jc w:val="center"/>
      </w:pPr>
      <w:r>
        <w:rPr>
          <w:sz w:val="20"/>
        </w:rPr>
        <w:t xml:space="preserve">ИНДИВИДУАЛЬНЫМ ПРЕДПРИНИМАТЕЛЕМ ГОДОВОГО</w:t>
      </w:r>
    </w:p>
    <w:p>
      <w:pPr>
        <w:pStyle w:val="2"/>
        <w:jc w:val="center"/>
      </w:pPr>
      <w:r>
        <w:rPr>
          <w:sz w:val="20"/>
        </w:rPr>
        <w:t xml:space="preserve">ДОХОДА ПО УКАЗАННЫМ ВИДАМ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10" w:tooltip="Закон Новосибирской области от 27.11.2023 N 388-ОЗ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и Закон Новосибирской области &quot;О внесении изменений в Закон Новосибирской области &quot;О налогах и особенностях налогообложения отдельных категорий налогоплательщиков в Новосибирской области&quot; (принят постановлением Законодательного Собрания Новосибирской области от 23.11.2023 N 388-ЗС) {КонсультантПлюс}">
              <w:r>
                <w:rPr>
                  <w:sz w:val="20"/>
                  <w:color w:val="0000ff"/>
                </w:rPr>
                <w:t xml:space="preserve">Закона</w:t>
              </w:r>
            </w:hyperlink>
            <w:r>
              <w:rPr>
                <w:sz w:val="20"/>
                <w:color w:val="392c69"/>
              </w:rPr>
              <w:t xml:space="preserve"> Новосибирской области</w:t>
            </w:r>
          </w:p>
          <w:p>
            <w:pPr>
              <w:pStyle w:val="0"/>
              <w:jc w:val="center"/>
            </w:pPr>
            <w:r>
              <w:rPr>
                <w:sz w:val="20"/>
                <w:color w:val="392c69"/>
              </w:rPr>
              <w:t xml:space="preserve">от 27.11.2023 N 388-ОЗ)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4819"/>
        <w:gridCol w:w="2494"/>
        <w:gridCol w:w="1417"/>
        <w:gridCol w:w="1417"/>
        <w:gridCol w:w="1417"/>
        <w:gridCol w:w="1417"/>
      </w:tblGrid>
      <w:tr>
        <w:tc>
          <w:tcPr>
            <w:tcW w:w="623" w:type="dxa"/>
            <w:vAlign w:val="center"/>
            <w:vMerge w:val="restart"/>
          </w:tcPr>
          <w:p>
            <w:pPr>
              <w:pStyle w:val="0"/>
              <w:jc w:val="center"/>
            </w:pPr>
            <w:r>
              <w:rPr>
                <w:sz w:val="20"/>
              </w:rPr>
              <w:t xml:space="preserve">N п/п</w:t>
            </w:r>
          </w:p>
        </w:tc>
        <w:tc>
          <w:tcPr>
            <w:tcW w:w="4819" w:type="dxa"/>
            <w:vAlign w:val="center"/>
            <w:vMerge w:val="restart"/>
          </w:tcPr>
          <w:p>
            <w:pPr>
              <w:pStyle w:val="0"/>
              <w:jc w:val="center"/>
            </w:pPr>
            <w:r>
              <w:rPr>
                <w:sz w:val="20"/>
              </w:rPr>
              <w:t xml:space="preserve">Вид деятельности</w:t>
            </w:r>
          </w:p>
        </w:tc>
        <w:tc>
          <w:tcPr>
            <w:tcW w:w="2494" w:type="dxa"/>
            <w:vAlign w:val="center"/>
            <w:vMerge w:val="restart"/>
          </w:tcPr>
          <w:p>
            <w:pPr>
              <w:pStyle w:val="0"/>
              <w:jc w:val="center"/>
            </w:pPr>
            <w:r>
              <w:rPr>
                <w:sz w:val="20"/>
              </w:rPr>
              <w:t xml:space="preserve">Корректирующий показатель</w:t>
            </w:r>
          </w:p>
        </w:tc>
        <w:tc>
          <w:tcPr>
            <w:gridSpan w:val="4"/>
            <w:tcW w:w="5668" w:type="dxa"/>
            <w:vAlign w:val="center"/>
          </w:tcPr>
          <w:p>
            <w:pPr>
              <w:pStyle w:val="0"/>
              <w:jc w:val="center"/>
            </w:pPr>
            <w:r>
              <w:rPr>
                <w:sz w:val="20"/>
              </w:rPr>
              <w:t xml:space="preserve">Размер потенциально возможного к получению индивидуальным предпринимателем годового дохода (руб.) по предпринимательской деятельности, осуществляемой на территории:</w:t>
            </w:r>
          </w:p>
        </w:tc>
      </w:tr>
      <w:tr>
        <w:tc>
          <w:tcPr>
            <w:vMerge w:val="continue"/>
          </w:tcPr>
          <w:p/>
        </w:tc>
        <w:tc>
          <w:tcPr>
            <w:vMerge w:val="continue"/>
          </w:tcPr>
          <w:p/>
        </w:tc>
        <w:tc>
          <w:tcPr>
            <w:vMerge w:val="continue"/>
          </w:tcPr>
          <w:p/>
        </w:tc>
        <w:tc>
          <w:tcPr>
            <w:tcW w:w="1417" w:type="dxa"/>
            <w:vAlign w:val="center"/>
          </w:tcPr>
          <w:p>
            <w:pPr>
              <w:pStyle w:val="0"/>
              <w:jc w:val="center"/>
            </w:pPr>
            <w:r>
              <w:rPr>
                <w:sz w:val="20"/>
              </w:rPr>
              <w:t xml:space="preserve">городского округа с численностью населения более 1 млн. человек</w:t>
            </w:r>
          </w:p>
        </w:tc>
        <w:tc>
          <w:tcPr>
            <w:tcW w:w="1417" w:type="dxa"/>
            <w:vAlign w:val="center"/>
          </w:tcPr>
          <w:p>
            <w:pPr>
              <w:pStyle w:val="0"/>
              <w:jc w:val="center"/>
            </w:pPr>
            <w:r>
              <w:rPr>
                <w:sz w:val="20"/>
              </w:rPr>
              <w:t xml:space="preserve">городских округов с численностью населения до 1 млн. человек включительно</w:t>
            </w:r>
          </w:p>
        </w:tc>
        <w:tc>
          <w:tcPr>
            <w:tcW w:w="1417" w:type="dxa"/>
            <w:vAlign w:val="center"/>
          </w:tcPr>
          <w:p>
            <w:pPr>
              <w:pStyle w:val="0"/>
              <w:jc w:val="center"/>
            </w:pPr>
            <w:r>
              <w:rPr>
                <w:sz w:val="20"/>
              </w:rPr>
              <w:t xml:space="preserve">городских поселений</w:t>
            </w:r>
          </w:p>
        </w:tc>
        <w:tc>
          <w:tcPr>
            <w:tcW w:w="1417" w:type="dxa"/>
            <w:vAlign w:val="center"/>
          </w:tcPr>
          <w:p>
            <w:pPr>
              <w:pStyle w:val="0"/>
              <w:jc w:val="center"/>
            </w:pPr>
            <w:r>
              <w:rPr>
                <w:sz w:val="20"/>
              </w:rPr>
              <w:t xml:space="preserve">сельских поселений</w:t>
            </w:r>
          </w:p>
        </w:tc>
      </w:tr>
      <w:tr>
        <w:tc>
          <w:tcPr>
            <w:tcW w:w="623" w:type="dxa"/>
            <w:vAlign w:val="center"/>
            <w:vMerge w:val="restart"/>
          </w:tcPr>
          <w:bookmarkStart w:id="2063" w:name="P2063"/>
          <w:bookmarkEnd w:id="2063"/>
          <w:p>
            <w:pPr>
              <w:pStyle w:val="0"/>
              <w:jc w:val="center"/>
            </w:pPr>
            <w:r>
              <w:rPr>
                <w:sz w:val="20"/>
              </w:rPr>
              <w:t xml:space="preserve">1</w:t>
            </w:r>
          </w:p>
        </w:tc>
        <w:tc>
          <w:tcPr>
            <w:tcW w:w="4819" w:type="dxa"/>
            <w:vAlign w:val="center"/>
            <w:vMerge w:val="restart"/>
          </w:tcPr>
          <w:p>
            <w:pPr>
              <w:pStyle w:val="0"/>
            </w:pPr>
            <w:r>
              <w:rPr>
                <w:sz w:val="20"/>
              </w:rPr>
              <w:t xml:space="preserve">Плиссировка и подобные работы на текстильных материалах</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w:t>
            </w:r>
          </w:p>
        </w:tc>
        <w:tc>
          <w:tcPr>
            <w:tcW w:w="4819" w:type="dxa"/>
            <w:vAlign w:val="center"/>
            <w:vMerge w:val="restart"/>
          </w:tcPr>
          <w:p>
            <w:pPr>
              <w:pStyle w:val="0"/>
            </w:pPr>
            <w:r>
              <w:rPr>
                <w:sz w:val="20"/>
              </w:rPr>
              <w:t xml:space="preserve">Пошив нательного белья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3</w:t>
            </w:r>
          </w:p>
        </w:tc>
        <w:tc>
          <w:tcPr>
            <w:tcW w:w="4819" w:type="dxa"/>
            <w:vAlign w:val="center"/>
            <w:vMerge w:val="restart"/>
          </w:tcPr>
          <w:p>
            <w:pPr>
              <w:pStyle w:val="0"/>
            </w:pPr>
            <w:r>
              <w:rPr>
                <w:sz w:val="20"/>
              </w:rPr>
              <w:t xml:space="preserve">Производство деревянной тары</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4</w:t>
            </w:r>
          </w:p>
        </w:tc>
        <w:tc>
          <w:tcPr>
            <w:tcW w:w="4819" w:type="dxa"/>
            <w:vAlign w:val="center"/>
            <w:vMerge w:val="restart"/>
          </w:tcPr>
          <w:p>
            <w:pPr>
              <w:pStyle w:val="0"/>
            </w:pPr>
            <w:r>
              <w:rPr>
                <w:sz w:val="20"/>
              </w:rPr>
              <w:t xml:space="preserve">Изготовление изделий из дерева, пробки, соломки и материалов для плетения, корзиночных и плетеных изделий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1 098 200</w:t>
            </w:r>
          </w:p>
        </w:tc>
        <w:tc>
          <w:tcPr>
            <w:tcW w:w="1417" w:type="dxa"/>
            <w:vAlign w:val="center"/>
          </w:tcPr>
          <w:p>
            <w:pPr>
              <w:pStyle w:val="0"/>
              <w:jc w:val="center"/>
            </w:pPr>
            <w:r>
              <w:rPr>
                <w:sz w:val="20"/>
              </w:rPr>
              <w:t xml:space="preserve">1 023 800</w:t>
            </w:r>
          </w:p>
        </w:tc>
        <w:tc>
          <w:tcPr>
            <w:tcW w:w="1417" w:type="dxa"/>
            <w:vAlign w:val="center"/>
          </w:tcPr>
          <w:p>
            <w:pPr>
              <w:pStyle w:val="0"/>
              <w:jc w:val="center"/>
            </w:pPr>
            <w:r>
              <w:rPr>
                <w:sz w:val="20"/>
              </w:rPr>
              <w:t xml:space="preserve">1 004 000</w:t>
            </w:r>
          </w:p>
        </w:tc>
        <w:tc>
          <w:tcPr>
            <w:tcW w:w="1417" w:type="dxa"/>
            <w:vAlign w:val="center"/>
          </w:tcPr>
          <w:p>
            <w:pPr>
              <w:pStyle w:val="0"/>
              <w:jc w:val="center"/>
            </w:pPr>
            <w:r>
              <w:rPr>
                <w:sz w:val="20"/>
              </w:rPr>
              <w:t xml:space="preserve">969 800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279 000</w:t>
            </w:r>
          </w:p>
        </w:tc>
        <w:tc>
          <w:tcPr>
            <w:tcW w:w="1417" w:type="dxa"/>
            <w:vAlign w:val="center"/>
          </w:tcPr>
          <w:p>
            <w:pPr>
              <w:pStyle w:val="0"/>
              <w:jc w:val="center"/>
            </w:pPr>
            <w:r>
              <w:rPr>
                <w:sz w:val="20"/>
              </w:rPr>
              <w:t xml:space="preserve">155 000</w:t>
            </w:r>
          </w:p>
        </w:tc>
        <w:tc>
          <w:tcPr>
            <w:tcW w:w="1417" w:type="dxa"/>
            <w:vAlign w:val="center"/>
          </w:tcPr>
          <w:p>
            <w:pPr>
              <w:pStyle w:val="0"/>
              <w:jc w:val="center"/>
            </w:pPr>
            <w:r>
              <w:rPr>
                <w:sz w:val="20"/>
              </w:rPr>
              <w:t xml:space="preserve">122 000</w:t>
            </w:r>
          </w:p>
        </w:tc>
        <w:tc>
          <w:tcPr>
            <w:tcW w:w="1417" w:type="dxa"/>
            <w:vAlign w:val="center"/>
          </w:tcPr>
          <w:p>
            <w:pPr>
              <w:pStyle w:val="0"/>
              <w:jc w:val="center"/>
            </w:pPr>
            <w:r>
              <w:rPr>
                <w:sz w:val="20"/>
              </w:rPr>
              <w:t xml:space="preserve">65 000</w:t>
            </w:r>
          </w:p>
        </w:tc>
      </w:tr>
      <w:tr>
        <w:tc>
          <w:tcPr>
            <w:tcW w:w="623" w:type="dxa"/>
            <w:vAlign w:val="center"/>
            <w:vMerge w:val="restart"/>
          </w:tcPr>
          <w:p>
            <w:pPr>
              <w:pStyle w:val="0"/>
              <w:jc w:val="center"/>
            </w:pPr>
            <w:r>
              <w:rPr>
                <w:sz w:val="20"/>
              </w:rPr>
              <w:t xml:space="preserve">5</w:t>
            </w:r>
          </w:p>
        </w:tc>
        <w:tc>
          <w:tcPr>
            <w:tcW w:w="4819" w:type="dxa"/>
            <w:vAlign w:val="center"/>
            <w:vMerge w:val="restart"/>
          </w:tcPr>
          <w:p>
            <w:pPr>
              <w:pStyle w:val="0"/>
            </w:pPr>
            <w:r>
              <w:rPr>
                <w:sz w:val="20"/>
              </w:rPr>
              <w:t xml:space="preserve">Предоставление услуг по ковке, прессованию, объемной и листовой штамповке и профилированию листового металла</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6</w:t>
            </w:r>
          </w:p>
        </w:tc>
        <w:tc>
          <w:tcPr>
            <w:tcW w:w="4819" w:type="dxa"/>
            <w:vAlign w:val="center"/>
            <w:vMerge w:val="restart"/>
          </w:tcPr>
          <w:p>
            <w:pPr>
              <w:pStyle w:val="0"/>
            </w:pPr>
            <w:r>
              <w:rPr>
                <w:sz w:val="20"/>
              </w:rPr>
              <w:t xml:space="preserve">Обработка металлов и нанесение покрытий на металлы</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7</w:t>
            </w:r>
          </w:p>
        </w:tc>
        <w:tc>
          <w:tcPr>
            <w:tcW w:w="4819" w:type="dxa"/>
            <w:vAlign w:val="center"/>
            <w:vMerge w:val="restart"/>
          </w:tcPr>
          <w:p>
            <w:pPr>
              <w:pStyle w:val="0"/>
            </w:pPr>
            <w:r>
              <w:rPr>
                <w:sz w:val="20"/>
              </w:rPr>
              <w:t xml:space="preserve">Обработка металлических изделий механическая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8</w:t>
            </w:r>
          </w:p>
        </w:tc>
        <w:tc>
          <w:tcPr>
            <w:tcW w:w="4819" w:type="dxa"/>
            <w:vAlign w:val="center"/>
            <w:vMerge w:val="restart"/>
          </w:tcPr>
          <w:p>
            <w:pPr>
              <w:pStyle w:val="0"/>
            </w:pPr>
            <w:r>
              <w:rPr>
                <w:sz w:val="20"/>
              </w:rPr>
              <w:t xml:space="preserve">Изготовление готовых металлических изделий хозяйственного назначения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9</w:t>
            </w:r>
          </w:p>
        </w:tc>
        <w:tc>
          <w:tcPr>
            <w:tcW w:w="4819" w:type="dxa"/>
            <w:vAlign w:val="center"/>
            <w:vMerge w:val="restart"/>
          </w:tcPr>
          <w:p>
            <w:pPr>
              <w:pStyle w:val="0"/>
            </w:pPr>
            <w:r>
              <w:rPr>
                <w:sz w:val="20"/>
              </w:rPr>
              <w:t xml:space="preserve">Изготовление кухонной мебели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10</w:t>
            </w:r>
          </w:p>
        </w:tc>
        <w:tc>
          <w:tcPr>
            <w:tcW w:w="4819" w:type="dxa"/>
            <w:vAlign w:val="center"/>
            <w:vMerge w:val="restart"/>
          </w:tcPr>
          <w:p>
            <w:pPr>
              <w:pStyle w:val="0"/>
            </w:pPr>
            <w:r>
              <w:rPr>
                <w:sz w:val="20"/>
              </w:rPr>
              <w:t xml:space="preserve">Изготовление прочей мебели и отдельных мебельных деталей, не включенных в другие группировки,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11</w:t>
            </w:r>
          </w:p>
        </w:tc>
        <w:tc>
          <w:tcPr>
            <w:tcW w:w="4819" w:type="dxa"/>
            <w:vAlign w:val="center"/>
            <w:vMerge w:val="restart"/>
          </w:tcPr>
          <w:p>
            <w:pPr>
              <w:pStyle w:val="0"/>
            </w:pPr>
            <w:r>
              <w:rPr>
                <w:sz w:val="20"/>
              </w:rPr>
              <w:t xml:space="preserve">Изготовление ювелирных изделий и аналогичных изделий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1 353 200</w:t>
            </w:r>
          </w:p>
        </w:tc>
        <w:tc>
          <w:tcPr>
            <w:tcW w:w="1417" w:type="dxa"/>
            <w:vAlign w:val="center"/>
          </w:tcPr>
          <w:p>
            <w:pPr>
              <w:pStyle w:val="0"/>
              <w:jc w:val="center"/>
            </w:pPr>
            <w:r>
              <w:rPr>
                <w:sz w:val="20"/>
              </w:rPr>
              <w:t xml:space="preserve">1 166 600</w:t>
            </w:r>
          </w:p>
        </w:tc>
        <w:tc>
          <w:tcPr>
            <w:tcW w:w="1417" w:type="dxa"/>
            <w:vAlign w:val="center"/>
          </w:tcPr>
          <w:p>
            <w:pPr>
              <w:pStyle w:val="0"/>
              <w:jc w:val="center"/>
            </w:pPr>
            <w:r>
              <w:rPr>
                <w:sz w:val="20"/>
              </w:rPr>
              <w:t xml:space="preserve">1 116 200</w:t>
            </w:r>
          </w:p>
        </w:tc>
        <w:tc>
          <w:tcPr>
            <w:tcW w:w="1417" w:type="dxa"/>
            <w:vAlign w:val="center"/>
          </w:tcPr>
          <w:p>
            <w:pPr>
              <w:pStyle w:val="0"/>
              <w:jc w:val="center"/>
            </w:pPr>
            <w:r>
              <w:rPr>
                <w:sz w:val="20"/>
              </w:rPr>
              <w:t xml:space="preserve">1 029 800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704 000</w:t>
            </w:r>
          </w:p>
        </w:tc>
        <w:tc>
          <w:tcPr>
            <w:tcW w:w="1417" w:type="dxa"/>
            <w:vAlign w:val="center"/>
          </w:tcPr>
          <w:p>
            <w:pPr>
              <w:pStyle w:val="0"/>
              <w:jc w:val="center"/>
            </w:pPr>
            <w:r>
              <w:rPr>
                <w:sz w:val="20"/>
              </w:rPr>
              <w:t xml:space="preserve">393 000</w:t>
            </w:r>
          </w:p>
        </w:tc>
        <w:tc>
          <w:tcPr>
            <w:tcW w:w="1417" w:type="dxa"/>
            <w:vAlign w:val="center"/>
          </w:tcPr>
          <w:p>
            <w:pPr>
              <w:pStyle w:val="0"/>
              <w:jc w:val="center"/>
            </w:pPr>
            <w:r>
              <w:rPr>
                <w:sz w:val="20"/>
              </w:rPr>
              <w:t xml:space="preserve">309 000</w:t>
            </w:r>
          </w:p>
        </w:tc>
        <w:tc>
          <w:tcPr>
            <w:tcW w:w="1417" w:type="dxa"/>
            <w:vAlign w:val="center"/>
          </w:tcPr>
          <w:p>
            <w:pPr>
              <w:pStyle w:val="0"/>
              <w:jc w:val="center"/>
            </w:pPr>
            <w:r>
              <w:rPr>
                <w:sz w:val="20"/>
              </w:rPr>
              <w:t xml:space="preserve">165 000</w:t>
            </w:r>
          </w:p>
        </w:tc>
      </w:tr>
      <w:tr>
        <w:tc>
          <w:tcPr>
            <w:tcW w:w="623" w:type="dxa"/>
            <w:vAlign w:val="center"/>
            <w:vMerge w:val="restart"/>
          </w:tcPr>
          <w:p>
            <w:pPr>
              <w:pStyle w:val="0"/>
              <w:jc w:val="center"/>
            </w:pPr>
            <w:r>
              <w:rPr>
                <w:sz w:val="20"/>
              </w:rPr>
              <w:t xml:space="preserve">12</w:t>
            </w:r>
          </w:p>
        </w:tc>
        <w:tc>
          <w:tcPr>
            <w:tcW w:w="4819" w:type="dxa"/>
            <w:vAlign w:val="center"/>
            <w:vMerge w:val="restart"/>
          </w:tcPr>
          <w:p>
            <w:pPr>
              <w:pStyle w:val="0"/>
            </w:pPr>
            <w:r>
              <w:rPr>
                <w:sz w:val="20"/>
              </w:rPr>
              <w:t xml:space="preserve">Изготовление бижутерии и подобных товаров по индивидуальному заказу населения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1 353 200</w:t>
            </w:r>
          </w:p>
        </w:tc>
        <w:tc>
          <w:tcPr>
            <w:tcW w:w="1417" w:type="dxa"/>
            <w:vAlign w:val="center"/>
          </w:tcPr>
          <w:p>
            <w:pPr>
              <w:pStyle w:val="0"/>
              <w:jc w:val="center"/>
            </w:pPr>
            <w:r>
              <w:rPr>
                <w:sz w:val="20"/>
              </w:rPr>
              <w:t xml:space="preserve">1 166 600</w:t>
            </w:r>
          </w:p>
        </w:tc>
        <w:tc>
          <w:tcPr>
            <w:tcW w:w="1417" w:type="dxa"/>
            <w:vAlign w:val="center"/>
          </w:tcPr>
          <w:p>
            <w:pPr>
              <w:pStyle w:val="0"/>
              <w:jc w:val="center"/>
            </w:pPr>
            <w:r>
              <w:rPr>
                <w:sz w:val="20"/>
              </w:rPr>
              <w:t xml:space="preserve">938 000</w:t>
            </w:r>
          </w:p>
        </w:tc>
        <w:tc>
          <w:tcPr>
            <w:tcW w:w="1417" w:type="dxa"/>
            <w:vAlign w:val="center"/>
          </w:tcPr>
          <w:p>
            <w:pPr>
              <w:pStyle w:val="0"/>
              <w:jc w:val="center"/>
            </w:pPr>
            <w:r>
              <w:rPr>
                <w:sz w:val="20"/>
              </w:rPr>
              <w:t xml:space="preserve">1 029 800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704 000</w:t>
            </w:r>
          </w:p>
        </w:tc>
        <w:tc>
          <w:tcPr>
            <w:tcW w:w="1417" w:type="dxa"/>
            <w:vAlign w:val="center"/>
          </w:tcPr>
          <w:p>
            <w:pPr>
              <w:pStyle w:val="0"/>
              <w:jc w:val="center"/>
            </w:pPr>
            <w:r>
              <w:rPr>
                <w:sz w:val="20"/>
              </w:rPr>
              <w:t xml:space="preserve">393 000</w:t>
            </w:r>
          </w:p>
        </w:tc>
        <w:tc>
          <w:tcPr>
            <w:tcW w:w="1417" w:type="dxa"/>
            <w:vAlign w:val="center"/>
          </w:tcPr>
          <w:p>
            <w:pPr>
              <w:pStyle w:val="0"/>
              <w:jc w:val="center"/>
            </w:pPr>
            <w:r>
              <w:rPr>
                <w:sz w:val="20"/>
              </w:rPr>
              <w:t xml:space="preserve">309 000</w:t>
            </w:r>
          </w:p>
        </w:tc>
        <w:tc>
          <w:tcPr>
            <w:tcW w:w="1417" w:type="dxa"/>
            <w:vAlign w:val="center"/>
          </w:tcPr>
          <w:p>
            <w:pPr>
              <w:pStyle w:val="0"/>
              <w:jc w:val="center"/>
            </w:pPr>
            <w:r>
              <w:rPr>
                <w:sz w:val="20"/>
              </w:rPr>
              <w:t xml:space="preserve">165 000</w:t>
            </w:r>
          </w:p>
        </w:tc>
      </w:tr>
      <w:tr>
        <w:tc>
          <w:tcPr>
            <w:tcW w:w="623" w:type="dxa"/>
            <w:vAlign w:val="center"/>
            <w:vMerge w:val="restart"/>
          </w:tcPr>
          <w:p>
            <w:pPr>
              <w:pStyle w:val="0"/>
              <w:jc w:val="center"/>
            </w:pPr>
            <w:r>
              <w:rPr>
                <w:sz w:val="20"/>
              </w:rPr>
              <w:t xml:space="preserve">13</w:t>
            </w:r>
          </w:p>
        </w:tc>
        <w:tc>
          <w:tcPr>
            <w:tcW w:w="4819" w:type="dxa"/>
            <w:vAlign w:val="center"/>
            <w:vMerge w:val="restart"/>
          </w:tcPr>
          <w:p>
            <w:pPr>
              <w:pStyle w:val="0"/>
            </w:pPr>
            <w:r>
              <w:rPr>
                <w:sz w:val="20"/>
              </w:rPr>
              <w:t xml:space="preserve">Производство прочих готовых изделий, не включенных в другие группировки</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14</w:t>
            </w:r>
          </w:p>
        </w:tc>
        <w:tc>
          <w:tcPr>
            <w:tcW w:w="4819" w:type="dxa"/>
            <w:vAlign w:val="center"/>
            <w:vMerge w:val="restart"/>
          </w:tcPr>
          <w:p>
            <w:pPr>
              <w:pStyle w:val="0"/>
            </w:pPr>
            <w:r>
              <w:rPr>
                <w:sz w:val="20"/>
              </w:rPr>
              <w:t xml:space="preserve">Ремонт и техническое обслуживание судов и лодок</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15</w:t>
            </w:r>
          </w:p>
        </w:tc>
        <w:tc>
          <w:tcPr>
            <w:tcW w:w="4819" w:type="dxa"/>
            <w:vAlign w:val="center"/>
            <w:vMerge w:val="restart"/>
          </w:tcPr>
          <w:p>
            <w:pPr>
              <w:pStyle w:val="0"/>
            </w:pPr>
            <w:r>
              <w:rPr>
                <w:sz w:val="20"/>
              </w:rPr>
              <w:t xml:space="preserve">Ремонт прочего оборудования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16</w:t>
            </w:r>
          </w:p>
        </w:tc>
        <w:tc>
          <w:tcPr>
            <w:tcW w:w="4819" w:type="dxa"/>
            <w:vAlign w:val="center"/>
            <w:vMerge w:val="restart"/>
          </w:tcPr>
          <w:p>
            <w:pPr>
              <w:pStyle w:val="0"/>
            </w:pPr>
            <w:r>
              <w:rPr>
                <w:sz w:val="20"/>
              </w:rPr>
              <w:t xml:space="preserve">Разработка строительных проектов</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17</w:t>
            </w:r>
          </w:p>
        </w:tc>
        <w:tc>
          <w:tcPr>
            <w:tcW w:w="4819" w:type="dxa"/>
            <w:vAlign w:val="center"/>
            <w:vMerge w:val="restart"/>
          </w:tcPr>
          <w:p>
            <w:pPr>
              <w:pStyle w:val="0"/>
            </w:pPr>
            <w:r>
              <w:rPr>
                <w:sz w:val="20"/>
              </w:rPr>
              <w:t xml:space="preserve">Производство прочих строительно-монтажных работ</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bookmarkStart w:id="2267" w:name="P2267"/>
          <w:bookmarkEnd w:id="2267"/>
          <w:p>
            <w:pPr>
              <w:pStyle w:val="0"/>
              <w:jc w:val="center"/>
            </w:pPr>
            <w:r>
              <w:rPr>
                <w:sz w:val="20"/>
              </w:rPr>
              <w:t xml:space="preserve">18</w:t>
            </w:r>
          </w:p>
        </w:tc>
        <w:tc>
          <w:tcPr>
            <w:tcW w:w="4819" w:type="dxa"/>
            <w:vAlign w:val="center"/>
            <w:vMerge w:val="restart"/>
          </w:tcPr>
          <w:p>
            <w:pPr>
              <w:pStyle w:val="0"/>
            </w:pPr>
            <w:r>
              <w:rPr>
                <w:sz w:val="20"/>
              </w:rPr>
              <w:t xml:space="preserve">Виды издательской деятельности прочие</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tcPr>
          <w:bookmarkStart w:id="2279" w:name="P2279"/>
          <w:bookmarkEnd w:id="2279"/>
          <w:p>
            <w:pPr>
              <w:pStyle w:val="0"/>
              <w:jc w:val="center"/>
            </w:pPr>
            <w:r>
              <w:rPr>
                <w:sz w:val="20"/>
              </w:rPr>
              <w:t xml:space="preserve">19</w:t>
            </w:r>
          </w:p>
        </w:tc>
        <w:tc>
          <w:tcPr>
            <w:tcW w:w="4819" w:type="dxa"/>
            <w:vAlign w:val="center"/>
          </w:tcPr>
          <w:p>
            <w:pPr>
              <w:pStyle w:val="0"/>
            </w:pPr>
            <w:r>
              <w:rPr>
                <w:sz w:val="20"/>
              </w:rPr>
              <w:t xml:space="preserve">Аренда и лизинг легковых автомобилей и легких автотранспортных средств</w:t>
            </w:r>
          </w:p>
        </w:tc>
        <w:tc>
          <w:tcPr>
            <w:tcW w:w="2494" w:type="dxa"/>
            <w:vAlign w:val="center"/>
          </w:tcPr>
          <w:p>
            <w:pPr>
              <w:pStyle w:val="0"/>
            </w:pPr>
            <w:r>
              <w:rPr>
                <w:sz w:val="20"/>
              </w:rPr>
              <w:t xml:space="preserve">на единицу автотранспортных средств</w:t>
            </w:r>
          </w:p>
        </w:tc>
        <w:tc>
          <w:tcPr>
            <w:tcW w:w="1417" w:type="dxa"/>
            <w:vAlign w:val="center"/>
          </w:tcPr>
          <w:p>
            <w:pPr>
              <w:pStyle w:val="0"/>
              <w:jc w:val="center"/>
            </w:pPr>
            <w:r>
              <w:rPr>
                <w:sz w:val="20"/>
              </w:rPr>
              <w:t xml:space="preserve">531 000</w:t>
            </w:r>
          </w:p>
        </w:tc>
        <w:tc>
          <w:tcPr>
            <w:tcW w:w="1417" w:type="dxa"/>
            <w:vAlign w:val="center"/>
          </w:tcPr>
          <w:p>
            <w:pPr>
              <w:pStyle w:val="0"/>
              <w:jc w:val="center"/>
            </w:pPr>
            <w:r>
              <w:rPr>
                <w:sz w:val="20"/>
              </w:rPr>
              <w:t xml:space="preserve">296 000</w:t>
            </w:r>
          </w:p>
        </w:tc>
        <w:tc>
          <w:tcPr>
            <w:tcW w:w="1417" w:type="dxa"/>
            <w:vAlign w:val="center"/>
          </w:tcPr>
          <w:p>
            <w:pPr>
              <w:pStyle w:val="0"/>
              <w:jc w:val="center"/>
            </w:pPr>
            <w:r>
              <w:rPr>
                <w:sz w:val="20"/>
              </w:rPr>
              <w:t xml:space="preserve">233 000</w:t>
            </w:r>
          </w:p>
        </w:tc>
        <w:tc>
          <w:tcPr>
            <w:tcW w:w="1417" w:type="dxa"/>
            <w:vAlign w:val="center"/>
          </w:tcPr>
          <w:p>
            <w:pPr>
              <w:pStyle w:val="0"/>
              <w:jc w:val="center"/>
            </w:pPr>
            <w:r>
              <w:rPr>
                <w:sz w:val="20"/>
              </w:rPr>
              <w:t xml:space="preserve">126 000</w:t>
            </w:r>
          </w:p>
        </w:tc>
      </w:tr>
      <w:tr>
        <w:tc>
          <w:tcPr>
            <w:tcW w:w="623" w:type="dxa"/>
            <w:vAlign w:val="center"/>
          </w:tcPr>
          <w:p>
            <w:pPr>
              <w:pStyle w:val="0"/>
              <w:jc w:val="center"/>
            </w:pPr>
            <w:r>
              <w:rPr>
                <w:sz w:val="20"/>
              </w:rPr>
              <w:t xml:space="preserve">20</w:t>
            </w:r>
          </w:p>
        </w:tc>
        <w:tc>
          <w:tcPr>
            <w:tcW w:w="4819" w:type="dxa"/>
            <w:vAlign w:val="center"/>
          </w:tcPr>
          <w:p>
            <w:pPr>
              <w:pStyle w:val="0"/>
            </w:pPr>
            <w:r>
              <w:rPr>
                <w:sz w:val="20"/>
              </w:rPr>
              <w:t xml:space="preserve">Аренда и лизинг грузовых транспортных средств</w:t>
            </w:r>
          </w:p>
        </w:tc>
        <w:tc>
          <w:tcPr>
            <w:tcW w:w="2494" w:type="dxa"/>
            <w:vAlign w:val="center"/>
          </w:tcPr>
          <w:p>
            <w:pPr>
              <w:pStyle w:val="0"/>
            </w:pPr>
            <w:r>
              <w:rPr>
                <w:sz w:val="20"/>
              </w:rPr>
              <w:t xml:space="preserve">на единицу автотранспортных средств</w:t>
            </w:r>
          </w:p>
        </w:tc>
        <w:tc>
          <w:tcPr>
            <w:tcW w:w="1417" w:type="dxa"/>
            <w:vAlign w:val="center"/>
          </w:tcPr>
          <w:p>
            <w:pPr>
              <w:pStyle w:val="0"/>
              <w:jc w:val="center"/>
            </w:pPr>
            <w:r>
              <w:rPr>
                <w:sz w:val="20"/>
              </w:rPr>
              <w:t xml:space="preserve">2 210 000</w:t>
            </w:r>
          </w:p>
        </w:tc>
        <w:tc>
          <w:tcPr>
            <w:tcW w:w="1417" w:type="dxa"/>
            <w:vAlign w:val="center"/>
          </w:tcPr>
          <w:p>
            <w:pPr>
              <w:pStyle w:val="0"/>
              <w:jc w:val="center"/>
            </w:pPr>
            <w:r>
              <w:rPr>
                <w:sz w:val="20"/>
              </w:rPr>
              <w:t xml:space="preserve">1 225 000</w:t>
            </w:r>
          </w:p>
        </w:tc>
        <w:tc>
          <w:tcPr>
            <w:tcW w:w="1417" w:type="dxa"/>
            <w:vAlign w:val="center"/>
          </w:tcPr>
          <w:p>
            <w:pPr>
              <w:pStyle w:val="0"/>
              <w:jc w:val="center"/>
            </w:pPr>
            <w:r>
              <w:rPr>
                <w:sz w:val="20"/>
              </w:rPr>
              <w:t xml:space="preserve">968 000</w:t>
            </w:r>
          </w:p>
        </w:tc>
        <w:tc>
          <w:tcPr>
            <w:tcW w:w="1417" w:type="dxa"/>
            <w:vAlign w:val="center"/>
          </w:tcPr>
          <w:p>
            <w:pPr>
              <w:pStyle w:val="0"/>
              <w:jc w:val="center"/>
            </w:pPr>
            <w:r>
              <w:rPr>
                <w:sz w:val="20"/>
              </w:rPr>
              <w:t xml:space="preserve">515 000</w:t>
            </w:r>
          </w:p>
        </w:tc>
      </w:tr>
      <w:tr>
        <w:tc>
          <w:tcPr>
            <w:tcW w:w="623" w:type="dxa"/>
            <w:vAlign w:val="center"/>
          </w:tcPr>
          <w:bookmarkStart w:id="2293" w:name="P2293"/>
          <w:bookmarkEnd w:id="2293"/>
          <w:p>
            <w:pPr>
              <w:pStyle w:val="0"/>
              <w:jc w:val="center"/>
            </w:pPr>
            <w:r>
              <w:rPr>
                <w:sz w:val="20"/>
              </w:rPr>
              <w:t xml:space="preserve">21</w:t>
            </w:r>
          </w:p>
        </w:tc>
        <w:tc>
          <w:tcPr>
            <w:tcW w:w="4819" w:type="dxa"/>
            <w:vAlign w:val="center"/>
          </w:tcPr>
          <w:p>
            <w:pPr>
              <w:pStyle w:val="0"/>
            </w:pPr>
            <w:r>
              <w:rPr>
                <w:sz w:val="20"/>
              </w:rPr>
              <w:t xml:space="preserve">Аренда и лизинг сельскохозяйственных машин и оборудования</w:t>
            </w:r>
          </w:p>
        </w:tc>
        <w:tc>
          <w:tcPr>
            <w:tcW w:w="2494" w:type="dxa"/>
            <w:vAlign w:val="center"/>
          </w:tcPr>
          <w:p>
            <w:pPr>
              <w:pStyle w:val="0"/>
            </w:pPr>
            <w:r>
              <w:rPr>
                <w:sz w:val="20"/>
              </w:rPr>
              <w:t xml:space="preserve">на единицу автотранспортных средств</w:t>
            </w:r>
          </w:p>
        </w:tc>
        <w:tc>
          <w:tcPr>
            <w:tcW w:w="1417" w:type="dxa"/>
            <w:vAlign w:val="center"/>
          </w:tcPr>
          <w:p>
            <w:pPr>
              <w:pStyle w:val="0"/>
              <w:jc w:val="center"/>
            </w:pPr>
            <w:r>
              <w:rPr>
                <w:sz w:val="20"/>
              </w:rPr>
              <w:t xml:space="preserve">1 769 000</w:t>
            </w:r>
          </w:p>
        </w:tc>
        <w:tc>
          <w:tcPr>
            <w:tcW w:w="1417" w:type="dxa"/>
            <w:vAlign w:val="center"/>
          </w:tcPr>
          <w:p>
            <w:pPr>
              <w:pStyle w:val="0"/>
              <w:jc w:val="center"/>
            </w:pPr>
            <w:r>
              <w:rPr>
                <w:sz w:val="20"/>
              </w:rPr>
              <w:t xml:space="preserve">981 000</w:t>
            </w:r>
          </w:p>
        </w:tc>
        <w:tc>
          <w:tcPr>
            <w:tcW w:w="1417" w:type="dxa"/>
            <w:vAlign w:val="center"/>
          </w:tcPr>
          <w:p>
            <w:pPr>
              <w:pStyle w:val="0"/>
              <w:jc w:val="center"/>
            </w:pPr>
            <w:r>
              <w:rPr>
                <w:sz w:val="20"/>
              </w:rPr>
              <w:t xml:space="preserve">775 000</w:t>
            </w:r>
          </w:p>
        </w:tc>
        <w:tc>
          <w:tcPr>
            <w:tcW w:w="1417" w:type="dxa"/>
            <w:vAlign w:val="center"/>
          </w:tcPr>
          <w:p>
            <w:pPr>
              <w:pStyle w:val="0"/>
              <w:jc w:val="center"/>
            </w:pPr>
            <w:r>
              <w:rPr>
                <w:sz w:val="20"/>
              </w:rPr>
              <w:t xml:space="preserve">412 000</w:t>
            </w:r>
          </w:p>
        </w:tc>
      </w:tr>
      <w:tr>
        <w:tc>
          <w:tcPr>
            <w:tcW w:w="623" w:type="dxa"/>
            <w:vAlign w:val="center"/>
            <w:vMerge w:val="restart"/>
          </w:tcPr>
          <w:bookmarkStart w:id="2300" w:name="P2300"/>
          <w:bookmarkEnd w:id="2300"/>
          <w:p>
            <w:pPr>
              <w:pStyle w:val="0"/>
              <w:jc w:val="center"/>
            </w:pPr>
            <w:r>
              <w:rPr>
                <w:sz w:val="20"/>
              </w:rPr>
              <w:t xml:space="preserve">22</w:t>
            </w:r>
          </w:p>
        </w:tc>
        <w:tc>
          <w:tcPr>
            <w:tcW w:w="4819" w:type="dxa"/>
            <w:vAlign w:val="center"/>
            <w:vMerge w:val="restart"/>
          </w:tcPr>
          <w:p>
            <w:pPr>
              <w:pStyle w:val="0"/>
            </w:pPr>
            <w:r>
              <w:rPr>
                <w:sz w:val="20"/>
              </w:rPr>
              <w:t xml:space="preserve">Аренда и лизинг офисных машин и оборудования, включая вычислительную технику</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23</w:t>
            </w:r>
          </w:p>
        </w:tc>
        <w:tc>
          <w:tcPr>
            <w:tcW w:w="4819" w:type="dxa"/>
            <w:vAlign w:val="center"/>
            <w:vMerge w:val="restart"/>
          </w:tcPr>
          <w:p>
            <w:pPr>
              <w:pStyle w:val="0"/>
            </w:pPr>
            <w:r>
              <w:rPr>
                <w:sz w:val="20"/>
              </w:rPr>
              <w:t xml:space="preserve">Дезинфекция, дезинсекция, дератизация зданий, промышленного оборудования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24</w:t>
            </w:r>
          </w:p>
        </w:tc>
        <w:tc>
          <w:tcPr>
            <w:tcW w:w="4819" w:type="dxa"/>
            <w:vAlign w:val="center"/>
            <w:vMerge w:val="restart"/>
          </w:tcPr>
          <w:p>
            <w:pPr>
              <w:pStyle w:val="0"/>
            </w:pPr>
            <w:r>
              <w:rPr>
                <w:sz w:val="20"/>
              </w:rPr>
              <w:t xml:space="preserve">Подметание улиц и уборка снега</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25</w:t>
            </w:r>
          </w:p>
        </w:tc>
        <w:tc>
          <w:tcPr>
            <w:tcW w:w="4819" w:type="dxa"/>
            <w:vAlign w:val="center"/>
            <w:vMerge w:val="restart"/>
          </w:tcPr>
          <w:p>
            <w:pPr>
              <w:pStyle w:val="0"/>
            </w:pPr>
            <w:r>
              <w:rPr>
                <w:sz w:val="20"/>
              </w:rPr>
              <w:t xml:space="preserve">Деятельность по чистке и уборке прочая, не включенная в другие группировки</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26</w:t>
            </w:r>
          </w:p>
        </w:tc>
        <w:tc>
          <w:tcPr>
            <w:tcW w:w="4819" w:type="dxa"/>
            <w:vAlign w:val="center"/>
            <w:vMerge w:val="restart"/>
          </w:tcPr>
          <w:p>
            <w:pPr>
              <w:pStyle w:val="0"/>
            </w:pPr>
            <w:r>
              <w:rPr>
                <w:sz w:val="20"/>
              </w:rPr>
              <w:t xml:space="preserve">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27</w:t>
            </w:r>
          </w:p>
        </w:tc>
        <w:tc>
          <w:tcPr>
            <w:tcW w:w="4819" w:type="dxa"/>
            <w:vAlign w:val="center"/>
            <w:vMerge w:val="restart"/>
          </w:tcPr>
          <w:p>
            <w:pPr>
              <w:pStyle w:val="0"/>
            </w:pPr>
            <w:r>
              <w:rPr>
                <w:sz w:val="20"/>
              </w:rPr>
              <w:t xml:space="preserve">Деятельность зрелищно-развлекательная прочая, не включенная в другие группировки</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28</w:t>
            </w:r>
          </w:p>
        </w:tc>
        <w:tc>
          <w:tcPr>
            <w:tcW w:w="4819" w:type="dxa"/>
            <w:vAlign w:val="center"/>
            <w:vMerge w:val="restart"/>
          </w:tcPr>
          <w:p>
            <w:pPr>
              <w:pStyle w:val="0"/>
            </w:pPr>
            <w:r>
              <w:rPr>
                <w:sz w:val="20"/>
              </w:rPr>
              <w:t xml:space="preserve">Ремонт домашнего и садового оборудования</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29</w:t>
            </w:r>
          </w:p>
        </w:tc>
        <w:tc>
          <w:tcPr>
            <w:tcW w:w="4819" w:type="dxa"/>
            <w:vAlign w:val="center"/>
            <w:vMerge w:val="restart"/>
          </w:tcPr>
          <w:p>
            <w:pPr>
              <w:pStyle w:val="0"/>
            </w:pPr>
            <w:r>
              <w:rPr>
                <w:sz w:val="20"/>
              </w:rPr>
              <w:t xml:space="preserve">Ремонт прочих предметов личного потребления и бытовых товаров</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30</w:t>
            </w:r>
          </w:p>
        </w:tc>
        <w:tc>
          <w:tcPr>
            <w:tcW w:w="4819" w:type="dxa"/>
            <w:vAlign w:val="center"/>
            <w:vMerge w:val="restart"/>
          </w:tcPr>
          <w:p>
            <w:pPr>
              <w:pStyle w:val="0"/>
            </w:pPr>
            <w:r>
              <w:rPr>
                <w:sz w:val="20"/>
              </w:rPr>
              <w:t xml:space="preserve">Предоставление прочих персональных услуг, не включенных в другие группировки</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31</w:t>
            </w:r>
          </w:p>
        </w:tc>
        <w:tc>
          <w:tcPr>
            <w:tcW w:w="4819" w:type="dxa"/>
            <w:vAlign w:val="center"/>
            <w:vMerge w:val="restart"/>
          </w:tcPr>
          <w:p>
            <w:pPr>
              <w:pStyle w:val="0"/>
            </w:pPr>
            <w:r>
              <w:rPr>
                <w:sz w:val="20"/>
              </w:rPr>
              <w:t xml:space="preserve">Услуги в области физкультурно-оздоровительной деятельности</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p>
            <w:pPr>
              <w:pStyle w:val="0"/>
              <w:jc w:val="center"/>
            </w:pPr>
            <w:r>
              <w:rPr>
                <w:sz w:val="20"/>
              </w:rPr>
              <w:t xml:space="preserve">32</w:t>
            </w:r>
          </w:p>
        </w:tc>
        <w:tc>
          <w:tcPr>
            <w:tcW w:w="4819" w:type="dxa"/>
            <w:vAlign w:val="center"/>
            <w:vMerge w:val="restart"/>
          </w:tcPr>
          <w:p>
            <w:pPr>
              <w:pStyle w:val="0"/>
            </w:pPr>
            <w:r>
              <w:rPr>
                <w:sz w:val="20"/>
              </w:rPr>
              <w:t xml:space="preserve">Услуги по ремонту слуховых аппаратов</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997 400</w:t>
            </w:r>
          </w:p>
        </w:tc>
        <w:tc>
          <w:tcPr>
            <w:tcW w:w="1417" w:type="dxa"/>
            <w:vAlign w:val="center"/>
          </w:tcPr>
          <w:p>
            <w:pPr>
              <w:pStyle w:val="0"/>
              <w:jc w:val="center"/>
            </w:pPr>
            <w:r>
              <w:rPr>
                <w:sz w:val="20"/>
              </w:rPr>
              <w:t xml:space="preserve">989 600</w:t>
            </w:r>
          </w:p>
        </w:tc>
        <w:tc>
          <w:tcPr>
            <w:tcW w:w="1417" w:type="dxa"/>
            <w:vAlign w:val="center"/>
          </w:tcPr>
          <w:p>
            <w:pPr>
              <w:pStyle w:val="0"/>
              <w:jc w:val="center"/>
            </w:pPr>
            <w:r>
              <w:rPr>
                <w:sz w:val="20"/>
              </w:rPr>
              <w:t xml:space="preserve">977 600</w:t>
            </w:r>
          </w:p>
        </w:tc>
        <w:tc>
          <w:tcPr>
            <w:tcW w:w="1417" w:type="dxa"/>
            <w:vAlign w:val="center"/>
          </w:tcPr>
          <w:p>
            <w:pPr>
              <w:pStyle w:val="0"/>
              <w:jc w:val="center"/>
            </w:pPr>
            <w:r>
              <w:rPr>
                <w:sz w:val="20"/>
              </w:rPr>
              <w:t xml:space="preserve">953 600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111 000</w:t>
            </w:r>
          </w:p>
        </w:tc>
        <w:tc>
          <w:tcPr>
            <w:tcW w:w="1417" w:type="dxa"/>
            <w:vAlign w:val="center"/>
          </w:tcPr>
          <w:p>
            <w:pPr>
              <w:pStyle w:val="0"/>
              <w:jc w:val="center"/>
            </w:pPr>
            <w:r>
              <w:rPr>
                <w:sz w:val="20"/>
              </w:rPr>
              <w:t xml:space="preserve">98 000</w:t>
            </w:r>
          </w:p>
        </w:tc>
        <w:tc>
          <w:tcPr>
            <w:tcW w:w="1417" w:type="dxa"/>
            <w:vAlign w:val="center"/>
          </w:tcPr>
          <w:p>
            <w:pPr>
              <w:pStyle w:val="0"/>
              <w:jc w:val="center"/>
            </w:pPr>
            <w:r>
              <w:rPr>
                <w:sz w:val="20"/>
              </w:rPr>
              <w:t xml:space="preserve">78 000</w:t>
            </w:r>
          </w:p>
        </w:tc>
        <w:tc>
          <w:tcPr>
            <w:tcW w:w="1417" w:type="dxa"/>
            <w:vAlign w:val="center"/>
          </w:tcPr>
          <w:p>
            <w:pPr>
              <w:pStyle w:val="0"/>
              <w:jc w:val="center"/>
            </w:pPr>
            <w:r>
              <w:rPr>
                <w:sz w:val="20"/>
              </w:rPr>
              <w:t xml:space="preserve">38 000</w:t>
            </w:r>
          </w:p>
        </w:tc>
      </w:tr>
      <w:tr>
        <w:tc>
          <w:tcPr>
            <w:tcW w:w="623" w:type="dxa"/>
            <w:vAlign w:val="center"/>
            <w:vMerge w:val="restart"/>
          </w:tcPr>
          <w:p>
            <w:pPr>
              <w:pStyle w:val="0"/>
              <w:jc w:val="center"/>
            </w:pPr>
            <w:r>
              <w:rPr>
                <w:sz w:val="20"/>
              </w:rPr>
              <w:t xml:space="preserve">33</w:t>
            </w:r>
          </w:p>
        </w:tc>
        <w:tc>
          <w:tcPr>
            <w:tcW w:w="4819" w:type="dxa"/>
            <w:vAlign w:val="center"/>
            <w:vMerge w:val="restart"/>
          </w:tcPr>
          <w:p>
            <w:pPr>
              <w:pStyle w:val="0"/>
            </w:pPr>
            <w:r>
              <w:rPr>
                <w:sz w:val="20"/>
              </w:rPr>
              <w:t xml:space="preserve">Ремонт бытовых осветительных приборов</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vMerge w:val="restart"/>
          </w:tcPr>
          <w:bookmarkStart w:id="2444" w:name="P2444"/>
          <w:bookmarkEnd w:id="2444"/>
          <w:p>
            <w:pPr>
              <w:pStyle w:val="0"/>
              <w:jc w:val="center"/>
            </w:pPr>
            <w:r>
              <w:rPr>
                <w:sz w:val="20"/>
              </w:rPr>
              <w:t xml:space="preserve">34</w:t>
            </w:r>
          </w:p>
        </w:tc>
        <w:tc>
          <w:tcPr>
            <w:tcW w:w="4819" w:type="dxa"/>
            <w:vAlign w:val="center"/>
            <w:vMerge w:val="restart"/>
          </w:tcPr>
          <w:p>
            <w:pPr>
              <w:pStyle w:val="0"/>
            </w:pPr>
            <w:r>
              <w:rPr>
                <w:sz w:val="20"/>
              </w:rPr>
              <w:t xml:space="preserve">Ремонт и настройка музыкальных инструментов (кроме органов и исторических музыкальных инструментов)</w:t>
            </w:r>
          </w:p>
        </w:tc>
        <w:tc>
          <w:tcPr>
            <w:tcW w:w="2494" w:type="dxa"/>
            <w:vAlign w:val="center"/>
          </w:tcPr>
          <w:p>
            <w:pPr>
              <w:pStyle w:val="0"/>
            </w:pPr>
            <w:r>
              <w:rPr>
                <w:sz w:val="20"/>
              </w:rPr>
              <w:t xml:space="preserve">без привлечения наемных работников</w:t>
            </w:r>
          </w:p>
        </w:tc>
        <w:tc>
          <w:tcPr>
            <w:tcW w:w="1417" w:type="dxa"/>
            <w:vAlign w:val="center"/>
          </w:tcPr>
          <w:p>
            <w:pPr>
              <w:pStyle w:val="0"/>
              <w:jc w:val="center"/>
            </w:pPr>
            <w:r>
              <w:rPr>
                <w:sz w:val="20"/>
              </w:rPr>
              <w:t xml:space="preserve">1 155 900</w:t>
            </w:r>
          </w:p>
        </w:tc>
        <w:tc>
          <w:tcPr>
            <w:tcW w:w="1417" w:type="dxa"/>
            <w:vAlign w:val="center"/>
          </w:tcPr>
          <w:p>
            <w:pPr>
              <w:pStyle w:val="0"/>
              <w:jc w:val="center"/>
            </w:pPr>
            <w:r>
              <w:rPr>
                <w:sz w:val="20"/>
              </w:rPr>
              <w:t xml:space="preserve">1 055 600</w:t>
            </w:r>
          </w:p>
        </w:tc>
        <w:tc>
          <w:tcPr>
            <w:tcW w:w="1417" w:type="dxa"/>
            <w:vAlign w:val="center"/>
          </w:tcPr>
          <w:p>
            <w:pPr>
              <w:pStyle w:val="0"/>
              <w:jc w:val="center"/>
            </w:pPr>
            <w:r>
              <w:rPr>
                <w:sz w:val="20"/>
              </w:rPr>
              <w:t xml:space="preserve">1 029 800</w:t>
            </w:r>
          </w:p>
        </w:tc>
        <w:tc>
          <w:tcPr>
            <w:tcW w:w="1417" w:type="dxa"/>
            <w:vAlign w:val="center"/>
          </w:tcPr>
          <w:p>
            <w:pPr>
              <w:pStyle w:val="0"/>
              <w:jc w:val="center"/>
            </w:pPr>
            <w:r>
              <w:rPr>
                <w:sz w:val="20"/>
              </w:rPr>
              <w:t xml:space="preserve">983 600</w:t>
            </w:r>
          </w:p>
        </w:tc>
      </w:tr>
      <w:tr>
        <w:tc>
          <w:tcPr>
            <w:vMerge w:val="continue"/>
          </w:tcPr>
          <w:p/>
        </w:tc>
        <w:tc>
          <w:tcPr>
            <w:vMerge w:val="continue"/>
          </w:tcPr>
          <w:p/>
        </w:tc>
        <w:tc>
          <w:tcPr>
            <w:tcW w:w="2494" w:type="dxa"/>
            <w:vAlign w:val="center"/>
          </w:tcPr>
          <w:p>
            <w:pPr>
              <w:pStyle w:val="0"/>
            </w:pPr>
            <w:r>
              <w:rPr>
                <w:sz w:val="20"/>
              </w:rPr>
              <w:t xml:space="preserve">на единицу средней численности наемных работников</w:t>
            </w:r>
          </w:p>
        </w:tc>
        <w:tc>
          <w:tcPr>
            <w:tcW w:w="1417" w:type="dxa"/>
            <w:vAlign w:val="center"/>
          </w:tcPr>
          <w:p>
            <w:pPr>
              <w:pStyle w:val="0"/>
              <w:jc w:val="center"/>
            </w:pPr>
            <w:r>
              <w:rPr>
                <w:sz w:val="20"/>
              </w:rPr>
              <w:t xml:space="preserve">375 200</w:t>
            </w:r>
          </w:p>
        </w:tc>
        <w:tc>
          <w:tcPr>
            <w:tcW w:w="1417" w:type="dxa"/>
            <w:vAlign w:val="center"/>
          </w:tcPr>
          <w:p>
            <w:pPr>
              <w:pStyle w:val="0"/>
              <w:jc w:val="center"/>
            </w:pPr>
            <w:r>
              <w:rPr>
                <w:sz w:val="20"/>
              </w:rPr>
              <w:t xml:space="preserve">208 000</w:t>
            </w:r>
          </w:p>
        </w:tc>
        <w:tc>
          <w:tcPr>
            <w:tcW w:w="1417" w:type="dxa"/>
            <w:vAlign w:val="center"/>
          </w:tcPr>
          <w:p>
            <w:pPr>
              <w:pStyle w:val="0"/>
              <w:jc w:val="center"/>
            </w:pPr>
            <w:r>
              <w:rPr>
                <w:sz w:val="20"/>
              </w:rPr>
              <w:t xml:space="preserve">165 000</w:t>
            </w:r>
          </w:p>
        </w:tc>
        <w:tc>
          <w:tcPr>
            <w:tcW w:w="1417" w:type="dxa"/>
            <w:vAlign w:val="center"/>
          </w:tcPr>
          <w:p>
            <w:pPr>
              <w:pStyle w:val="0"/>
              <w:jc w:val="center"/>
            </w:pPr>
            <w:r>
              <w:rPr>
                <w:sz w:val="20"/>
              </w:rPr>
              <w:t xml:space="preserve">88 000</w:t>
            </w:r>
          </w:p>
        </w:tc>
      </w:tr>
      <w:tr>
        <w:tc>
          <w:tcPr>
            <w:tcW w:w="623" w:type="dxa"/>
            <w:vAlign w:val="center"/>
          </w:tcPr>
          <w:bookmarkStart w:id="2456" w:name="P2456"/>
          <w:bookmarkEnd w:id="2456"/>
          <w:p>
            <w:pPr>
              <w:pStyle w:val="0"/>
              <w:jc w:val="center"/>
            </w:pPr>
            <w:r>
              <w:rPr>
                <w:sz w:val="20"/>
              </w:rPr>
              <w:t xml:space="preserve">35</w:t>
            </w:r>
          </w:p>
        </w:tc>
        <w:tc>
          <w:tcPr>
            <w:tcW w:w="4819" w:type="dxa"/>
            <w:vAlign w:val="center"/>
          </w:tcPr>
          <w:p>
            <w:pPr>
              <w:pStyle w:val="0"/>
            </w:pPr>
            <w:r>
              <w:rPr>
                <w:sz w:val="20"/>
              </w:rPr>
              <w:t xml:space="preserve">Аренда судов внутреннего водного транспорта для перевозки пассажиров с экипажем</w:t>
            </w:r>
          </w:p>
        </w:tc>
        <w:tc>
          <w:tcPr>
            <w:tcW w:w="2494" w:type="dxa"/>
            <w:vAlign w:val="center"/>
          </w:tcPr>
          <w:p>
            <w:pPr>
              <w:pStyle w:val="0"/>
            </w:pPr>
            <w:r>
              <w:rPr>
                <w:sz w:val="20"/>
              </w:rPr>
              <w:t xml:space="preserve">на единицу судов водного транспорта</w:t>
            </w:r>
          </w:p>
        </w:tc>
        <w:tc>
          <w:tcPr>
            <w:tcW w:w="1417" w:type="dxa"/>
            <w:vAlign w:val="center"/>
          </w:tcPr>
          <w:p>
            <w:pPr>
              <w:pStyle w:val="0"/>
              <w:jc w:val="center"/>
            </w:pPr>
            <w:r>
              <w:rPr>
                <w:sz w:val="20"/>
              </w:rPr>
              <w:t xml:space="preserve">637 000</w:t>
            </w:r>
          </w:p>
        </w:tc>
        <w:tc>
          <w:tcPr>
            <w:tcW w:w="1417" w:type="dxa"/>
            <w:vAlign w:val="center"/>
          </w:tcPr>
          <w:p>
            <w:pPr>
              <w:pStyle w:val="0"/>
              <w:jc w:val="center"/>
            </w:pPr>
            <w:r>
              <w:rPr>
                <w:sz w:val="20"/>
              </w:rPr>
              <w:t xml:space="preserve">352 000</w:t>
            </w:r>
          </w:p>
        </w:tc>
        <w:tc>
          <w:tcPr>
            <w:tcW w:w="1417" w:type="dxa"/>
            <w:vAlign w:val="center"/>
          </w:tcPr>
          <w:p>
            <w:pPr>
              <w:pStyle w:val="0"/>
              <w:jc w:val="center"/>
            </w:pPr>
            <w:r>
              <w:rPr>
                <w:sz w:val="20"/>
              </w:rPr>
              <w:t xml:space="preserve">278 000</w:t>
            </w:r>
          </w:p>
        </w:tc>
        <w:tc>
          <w:tcPr>
            <w:tcW w:w="1417" w:type="dxa"/>
            <w:vAlign w:val="center"/>
          </w:tcPr>
          <w:p>
            <w:pPr>
              <w:pStyle w:val="0"/>
              <w:jc w:val="center"/>
            </w:pPr>
            <w:r>
              <w:rPr>
                <w:sz w:val="20"/>
              </w:rPr>
              <w:t xml:space="preserve">148 000</w:t>
            </w:r>
          </w:p>
        </w:tc>
      </w:tr>
      <w:tr>
        <w:tc>
          <w:tcPr>
            <w:tcW w:w="623" w:type="dxa"/>
            <w:vAlign w:val="center"/>
          </w:tcPr>
          <w:bookmarkStart w:id="2463" w:name="P2463"/>
          <w:bookmarkEnd w:id="2463"/>
          <w:p>
            <w:pPr>
              <w:pStyle w:val="0"/>
              <w:jc w:val="center"/>
            </w:pPr>
            <w:r>
              <w:rPr>
                <w:sz w:val="20"/>
              </w:rPr>
              <w:t xml:space="preserve">36</w:t>
            </w:r>
          </w:p>
        </w:tc>
        <w:tc>
          <w:tcPr>
            <w:tcW w:w="4819" w:type="dxa"/>
            <w:vAlign w:val="center"/>
          </w:tcPr>
          <w:p>
            <w:pPr>
              <w:pStyle w:val="0"/>
            </w:pPr>
            <w:r>
              <w:rPr>
                <w:sz w:val="20"/>
              </w:rPr>
              <w:t xml:space="preserve">Деятельность по осуществлению торговли через автоматы</w:t>
            </w:r>
          </w:p>
        </w:tc>
        <w:tc>
          <w:tcPr>
            <w:tcW w:w="2494" w:type="dxa"/>
            <w:vAlign w:val="center"/>
          </w:tcPr>
          <w:p>
            <w:pPr>
              <w:pStyle w:val="0"/>
            </w:pPr>
            <w:r>
              <w:rPr>
                <w:sz w:val="20"/>
              </w:rPr>
              <w:t xml:space="preserve">на один объект стационарной торговой сети</w:t>
            </w:r>
          </w:p>
        </w:tc>
        <w:tc>
          <w:tcPr>
            <w:tcW w:w="1417" w:type="dxa"/>
            <w:vAlign w:val="center"/>
          </w:tcPr>
          <w:p>
            <w:pPr>
              <w:pStyle w:val="0"/>
              <w:jc w:val="center"/>
            </w:pPr>
            <w:r>
              <w:rPr>
                <w:sz w:val="20"/>
              </w:rPr>
              <w:t xml:space="preserve">810 000</w:t>
            </w:r>
          </w:p>
        </w:tc>
        <w:tc>
          <w:tcPr>
            <w:tcW w:w="1417" w:type="dxa"/>
            <w:vAlign w:val="center"/>
          </w:tcPr>
          <w:p>
            <w:pPr>
              <w:pStyle w:val="0"/>
              <w:jc w:val="center"/>
            </w:pPr>
            <w:r>
              <w:rPr>
                <w:sz w:val="20"/>
              </w:rPr>
              <w:t xml:space="preserve">448 000</w:t>
            </w:r>
          </w:p>
        </w:tc>
        <w:tc>
          <w:tcPr>
            <w:tcW w:w="1417" w:type="dxa"/>
            <w:vAlign w:val="center"/>
          </w:tcPr>
          <w:p>
            <w:pPr>
              <w:pStyle w:val="0"/>
              <w:jc w:val="center"/>
            </w:pPr>
            <w:r>
              <w:rPr>
                <w:sz w:val="20"/>
              </w:rPr>
              <w:t xml:space="preserve">354 000</w:t>
            </w:r>
          </w:p>
        </w:tc>
        <w:tc>
          <w:tcPr>
            <w:tcW w:w="1417" w:type="dxa"/>
            <w:vAlign w:val="center"/>
          </w:tcPr>
          <w:p>
            <w:pPr>
              <w:pStyle w:val="0"/>
              <w:jc w:val="center"/>
            </w:pPr>
            <w:r>
              <w:rPr>
                <w:sz w:val="20"/>
              </w:rPr>
              <w:t xml:space="preserve">188 000</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07"/>
      <w:headerReference w:type="first" r:id="rId507"/>
      <w:footerReference w:type="default" r:id="rId508"/>
      <w:footerReference w:type="first" r:id="rId508"/>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Новосибирской области от 16.10.2003 N 142-ОЗ</w:t>
            <w:br/>
            <w:t>(ред. от 12.03.2024)</w:t>
            <w:br/>
            <w:t>"О налогах и особенностях налогообложения отдель...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Новосибирской области от 16.10.2003 N 142-ОЗ</w:t>
            <w:br/>
            <w:t>(ред. от 12.03.2024)</w:t>
            <w:br/>
            <w:t>"О налогах и особенностях налогообложения отдель...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49&amp;n=13720&amp;dst=100007" TargetMode = "External"/>
	<Relationship Id="rId8" Type="http://schemas.openxmlformats.org/officeDocument/2006/relationships/hyperlink" Target="https://login.consultant.ru/link/?req=doc&amp;base=RLAW049&amp;n=14836&amp;dst=100007" TargetMode = "External"/>
	<Relationship Id="rId9" Type="http://schemas.openxmlformats.org/officeDocument/2006/relationships/hyperlink" Target="https://login.consultant.ru/link/?req=doc&amp;base=RLAW049&amp;n=15260&amp;dst=100007" TargetMode = "External"/>
	<Relationship Id="rId10" Type="http://schemas.openxmlformats.org/officeDocument/2006/relationships/hyperlink" Target="https://login.consultant.ru/link/?req=doc&amp;base=RLAW049&amp;n=15969&amp;dst=100007" TargetMode = "External"/>
	<Relationship Id="rId11" Type="http://schemas.openxmlformats.org/officeDocument/2006/relationships/hyperlink" Target="https://login.consultant.ru/link/?req=doc&amp;base=RLAW049&amp;n=16392&amp;dst=100007" TargetMode = "External"/>
	<Relationship Id="rId12" Type="http://schemas.openxmlformats.org/officeDocument/2006/relationships/hyperlink" Target="https://login.consultant.ru/link/?req=doc&amp;base=RLAW049&amp;n=17205&amp;dst=100007" TargetMode = "External"/>
	<Relationship Id="rId13" Type="http://schemas.openxmlformats.org/officeDocument/2006/relationships/hyperlink" Target="https://login.consultant.ru/link/?req=doc&amp;base=RLAW049&amp;n=17675&amp;dst=100007" TargetMode = "External"/>
	<Relationship Id="rId14" Type="http://schemas.openxmlformats.org/officeDocument/2006/relationships/hyperlink" Target="https://login.consultant.ru/link/?req=doc&amp;base=RLAW049&amp;n=19045&amp;dst=100007" TargetMode = "External"/>
	<Relationship Id="rId15" Type="http://schemas.openxmlformats.org/officeDocument/2006/relationships/hyperlink" Target="https://login.consultant.ru/link/?req=doc&amp;base=RLAW049&amp;n=21908&amp;dst=100008" TargetMode = "External"/>
	<Relationship Id="rId16" Type="http://schemas.openxmlformats.org/officeDocument/2006/relationships/hyperlink" Target="https://login.consultant.ru/link/?req=doc&amp;base=RLAW049&amp;n=23965&amp;dst=100008" TargetMode = "External"/>
	<Relationship Id="rId17" Type="http://schemas.openxmlformats.org/officeDocument/2006/relationships/hyperlink" Target="https://login.consultant.ru/link/?req=doc&amp;base=RLAW049&amp;n=25112&amp;dst=100008" TargetMode = "External"/>
	<Relationship Id="rId18" Type="http://schemas.openxmlformats.org/officeDocument/2006/relationships/hyperlink" Target="https://login.consultant.ru/link/?req=doc&amp;base=RLAW049&amp;n=25376&amp;dst=100008" TargetMode = "External"/>
	<Relationship Id="rId19" Type="http://schemas.openxmlformats.org/officeDocument/2006/relationships/hyperlink" Target="https://login.consultant.ru/link/?req=doc&amp;base=RLAW049&amp;n=25377&amp;dst=100008" TargetMode = "External"/>
	<Relationship Id="rId20" Type="http://schemas.openxmlformats.org/officeDocument/2006/relationships/hyperlink" Target="https://login.consultant.ru/link/?req=doc&amp;base=RLAW049&amp;n=25379&amp;dst=100008" TargetMode = "External"/>
	<Relationship Id="rId21" Type="http://schemas.openxmlformats.org/officeDocument/2006/relationships/hyperlink" Target="https://login.consultant.ru/link/?req=doc&amp;base=RLAW049&amp;n=29142&amp;dst=100008" TargetMode = "External"/>
	<Relationship Id="rId22" Type="http://schemas.openxmlformats.org/officeDocument/2006/relationships/hyperlink" Target="https://login.consultant.ru/link/?req=doc&amp;base=RLAW049&amp;n=29351&amp;dst=100008" TargetMode = "External"/>
	<Relationship Id="rId23" Type="http://schemas.openxmlformats.org/officeDocument/2006/relationships/hyperlink" Target="https://login.consultant.ru/link/?req=doc&amp;base=RLAW049&amp;n=29352&amp;dst=100008" TargetMode = "External"/>
	<Relationship Id="rId24" Type="http://schemas.openxmlformats.org/officeDocument/2006/relationships/hyperlink" Target="https://login.consultant.ru/link/?req=doc&amp;base=RLAW049&amp;n=33428&amp;dst=100008" TargetMode = "External"/>
	<Relationship Id="rId25" Type="http://schemas.openxmlformats.org/officeDocument/2006/relationships/hyperlink" Target="https://login.consultant.ru/link/?req=doc&amp;base=RLAW049&amp;n=35843&amp;dst=100008" TargetMode = "External"/>
	<Relationship Id="rId26" Type="http://schemas.openxmlformats.org/officeDocument/2006/relationships/hyperlink" Target="https://login.consultant.ru/link/?req=doc&amp;base=RLAW049&amp;n=35904&amp;dst=100008" TargetMode = "External"/>
	<Relationship Id="rId27" Type="http://schemas.openxmlformats.org/officeDocument/2006/relationships/hyperlink" Target="https://login.consultant.ru/link/?req=doc&amp;base=RLAW049&amp;n=42246&amp;dst=100008" TargetMode = "External"/>
	<Relationship Id="rId28" Type="http://schemas.openxmlformats.org/officeDocument/2006/relationships/hyperlink" Target="https://login.consultant.ru/link/?req=doc&amp;base=RLAW049&amp;n=42247&amp;dst=100008" TargetMode = "External"/>
	<Relationship Id="rId29" Type="http://schemas.openxmlformats.org/officeDocument/2006/relationships/hyperlink" Target="https://login.consultant.ru/link/?req=doc&amp;base=RLAW049&amp;n=49428&amp;dst=100008" TargetMode = "External"/>
	<Relationship Id="rId30" Type="http://schemas.openxmlformats.org/officeDocument/2006/relationships/hyperlink" Target="https://login.consultant.ru/link/?req=doc&amp;base=RLAW049&amp;n=54874&amp;dst=100008" TargetMode = "External"/>
	<Relationship Id="rId31" Type="http://schemas.openxmlformats.org/officeDocument/2006/relationships/hyperlink" Target="https://login.consultant.ru/link/?req=doc&amp;base=RLAW049&amp;n=56097&amp;dst=100008" TargetMode = "External"/>
	<Relationship Id="rId32" Type="http://schemas.openxmlformats.org/officeDocument/2006/relationships/hyperlink" Target="https://login.consultant.ru/link/?req=doc&amp;base=RLAW049&amp;n=59472&amp;dst=100008" TargetMode = "External"/>
	<Relationship Id="rId33" Type="http://schemas.openxmlformats.org/officeDocument/2006/relationships/hyperlink" Target="https://login.consultant.ru/link/?req=doc&amp;base=RLAW049&amp;n=59473&amp;dst=100008" TargetMode = "External"/>
	<Relationship Id="rId34" Type="http://schemas.openxmlformats.org/officeDocument/2006/relationships/hyperlink" Target="https://login.consultant.ru/link/?req=doc&amp;base=RLAW049&amp;n=61616&amp;dst=100008" TargetMode = "External"/>
	<Relationship Id="rId35" Type="http://schemas.openxmlformats.org/officeDocument/2006/relationships/hyperlink" Target="https://login.consultant.ru/link/?req=doc&amp;base=RLAW049&amp;n=62357&amp;dst=100008" TargetMode = "External"/>
	<Relationship Id="rId36" Type="http://schemas.openxmlformats.org/officeDocument/2006/relationships/hyperlink" Target="https://login.consultant.ru/link/?req=doc&amp;base=RLAW049&amp;n=66063&amp;dst=100008" TargetMode = "External"/>
	<Relationship Id="rId37" Type="http://schemas.openxmlformats.org/officeDocument/2006/relationships/hyperlink" Target="https://login.consultant.ru/link/?req=doc&amp;base=RLAW049&amp;n=67325&amp;dst=100008" TargetMode = "External"/>
	<Relationship Id="rId38" Type="http://schemas.openxmlformats.org/officeDocument/2006/relationships/hyperlink" Target="https://login.consultant.ru/link/?req=doc&amp;base=RLAW049&amp;n=67327&amp;dst=100008" TargetMode = "External"/>
	<Relationship Id="rId39" Type="http://schemas.openxmlformats.org/officeDocument/2006/relationships/hyperlink" Target="https://login.consultant.ru/link/?req=doc&amp;base=RLAW049&amp;n=75881&amp;dst=100008" TargetMode = "External"/>
	<Relationship Id="rId40" Type="http://schemas.openxmlformats.org/officeDocument/2006/relationships/hyperlink" Target="https://login.consultant.ru/link/?req=doc&amp;base=RLAW049&amp;n=76393&amp;dst=100008" TargetMode = "External"/>
	<Relationship Id="rId41" Type="http://schemas.openxmlformats.org/officeDocument/2006/relationships/hyperlink" Target="https://login.consultant.ru/link/?req=doc&amp;base=RLAW049&amp;n=155998&amp;dst=100008" TargetMode = "External"/>
	<Relationship Id="rId42" Type="http://schemas.openxmlformats.org/officeDocument/2006/relationships/hyperlink" Target="https://login.consultant.ru/link/?req=doc&amp;base=RLAW049&amp;n=81678&amp;dst=100008" TargetMode = "External"/>
	<Relationship Id="rId43" Type="http://schemas.openxmlformats.org/officeDocument/2006/relationships/hyperlink" Target="https://login.consultant.ru/link/?req=doc&amp;base=RLAW049&amp;n=81679&amp;dst=100008" TargetMode = "External"/>
	<Relationship Id="rId44" Type="http://schemas.openxmlformats.org/officeDocument/2006/relationships/hyperlink" Target="https://login.consultant.ru/link/?req=doc&amp;base=RLAW049&amp;n=155999&amp;dst=100008" TargetMode = "External"/>
	<Relationship Id="rId45" Type="http://schemas.openxmlformats.org/officeDocument/2006/relationships/hyperlink" Target="https://login.consultant.ru/link/?req=doc&amp;base=RLAW049&amp;n=85947&amp;dst=100008" TargetMode = "External"/>
	<Relationship Id="rId46" Type="http://schemas.openxmlformats.org/officeDocument/2006/relationships/hyperlink" Target="https://login.consultant.ru/link/?req=doc&amp;base=RLAW049&amp;n=87726&amp;dst=100008" TargetMode = "External"/>
	<Relationship Id="rId47" Type="http://schemas.openxmlformats.org/officeDocument/2006/relationships/hyperlink" Target="https://login.consultant.ru/link/?req=doc&amp;base=RLAW049&amp;n=89957&amp;dst=100008" TargetMode = "External"/>
	<Relationship Id="rId48" Type="http://schemas.openxmlformats.org/officeDocument/2006/relationships/hyperlink" Target="https://login.consultant.ru/link/?req=doc&amp;base=RLAW049&amp;n=90818&amp;dst=100008" TargetMode = "External"/>
	<Relationship Id="rId49" Type="http://schemas.openxmlformats.org/officeDocument/2006/relationships/hyperlink" Target="https://login.consultant.ru/link/?req=doc&amp;base=RLAW049&amp;n=94746&amp;dst=100008" TargetMode = "External"/>
	<Relationship Id="rId50" Type="http://schemas.openxmlformats.org/officeDocument/2006/relationships/hyperlink" Target="https://login.consultant.ru/link/?req=doc&amp;base=RLAW049&amp;n=95256&amp;dst=100008" TargetMode = "External"/>
	<Relationship Id="rId51" Type="http://schemas.openxmlformats.org/officeDocument/2006/relationships/hyperlink" Target="https://login.consultant.ru/link/?req=doc&amp;base=RLAW049&amp;n=156000&amp;dst=100008" TargetMode = "External"/>
	<Relationship Id="rId52" Type="http://schemas.openxmlformats.org/officeDocument/2006/relationships/hyperlink" Target="https://login.consultant.ru/link/?req=doc&amp;base=RLAW049&amp;n=104724&amp;dst=100008" TargetMode = "External"/>
	<Relationship Id="rId53" Type="http://schemas.openxmlformats.org/officeDocument/2006/relationships/hyperlink" Target="https://login.consultant.ru/link/?req=doc&amp;base=RLAW049&amp;n=110593&amp;dst=100008" TargetMode = "External"/>
	<Relationship Id="rId54" Type="http://schemas.openxmlformats.org/officeDocument/2006/relationships/hyperlink" Target="https://login.consultant.ru/link/?req=doc&amp;base=RLAW049&amp;n=120349&amp;dst=100019" TargetMode = "External"/>
	<Relationship Id="rId55" Type="http://schemas.openxmlformats.org/officeDocument/2006/relationships/hyperlink" Target="https://login.consultant.ru/link/?req=doc&amp;base=RLAW049&amp;n=113649&amp;dst=100008" TargetMode = "External"/>
	<Relationship Id="rId56" Type="http://schemas.openxmlformats.org/officeDocument/2006/relationships/hyperlink" Target="https://login.consultant.ru/link/?req=doc&amp;base=RLAW049&amp;n=114502&amp;dst=100008" TargetMode = "External"/>
	<Relationship Id="rId57" Type="http://schemas.openxmlformats.org/officeDocument/2006/relationships/hyperlink" Target="https://login.consultant.ru/link/?req=doc&amp;base=RLAW049&amp;n=115339&amp;dst=100008" TargetMode = "External"/>
	<Relationship Id="rId58" Type="http://schemas.openxmlformats.org/officeDocument/2006/relationships/hyperlink" Target="https://login.consultant.ru/link/?req=doc&amp;base=RLAW049&amp;n=122896&amp;dst=100008" TargetMode = "External"/>
	<Relationship Id="rId59" Type="http://schemas.openxmlformats.org/officeDocument/2006/relationships/hyperlink" Target="https://login.consultant.ru/link/?req=doc&amp;base=RLAW049&amp;n=120298&amp;dst=100008" TargetMode = "External"/>
	<Relationship Id="rId60" Type="http://schemas.openxmlformats.org/officeDocument/2006/relationships/hyperlink" Target="https://login.consultant.ru/link/?req=doc&amp;base=RLAW049&amp;n=122722&amp;dst=100008" TargetMode = "External"/>
	<Relationship Id="rId61" Type="http://schemas.openxmlformats.org/officeDocument/2006/relationships/hyperlink" Target="https://login.consultant.ru/link/?req=doc&amp;base=RLAW049&amp;n=124062&amp;dst=100008" TargetMode = "External"/>
	<Relationship Id="rId62" Type="http://schemas.openxmlformats.org/officeDocument/2006/relationships/hyperlink" Target="https://login.consultant.ru/link/?req=doc&amp;base=RLAW049&amp;n=124063&amp;dst=100008" TargetMode = "External"/>
	<Relationship Id="rId63" Type="http://schemas.openxmlformats.org/officeDocument/2006/relationships/hyperlink" Target="https://login.consultant.ru/link/?req=doc&amp;base=RLAW049&amp;n=133925&amp;dst=100008" TargetMode = "External"/>
	<Relationship Id="rId64" Type="http://schemas.openxmlformats.org/officeDocument/2006/relationships/hyperlink" Target="https://login.consultant.ru/link/?req=doc&amp;base=RLAW049&amp;n=133918&amp;dst=100008" TargetMode = "External"/>
	<Relationship Id="rId65" Type="http://schemas.openxmlformats.org/officeDocument/2006/relationships/hyperlink" Target="https://login.consultant.ru/link/?req=doc&amp;base=RLAW049&amp;n=135473&amp;dst=100008" TargetMode = "External"/>
	<Relationship Id="rId66" Type="http://schemas.openxmlformats.org/officeDocument/2006/relationships/hyperlink" Target="https://login.consultant.ru/link/?req=doc&amp;base=RLAW049&amp;n=167594&amp;dst=100008" TargetMode = "External"/>
	<Relationship Id="rId67" Type="http://schemas.openxmlformats.org/officeDocument/2006/relationships/hyperlink" Target="https://login.consultant.ru/link/?req=doc&amp;base=RLAW049&amp;n=143385&amp;dst=100008" TargetMode = "External"/>
	<Relationship Id="rId68" Type="http://schemas.openxmlformats.org/officeDocument/2006/relationships/hyperlink" Target="https://login.consultant.ru/link/?req=doc&amp;base=RLAW049&amp;n=143384&amp;dst=100008" TargetMode = "External"/>
	<Relationship Id="rId69" Type="http://schemas.openxmlformats.org/officeDocument/2006/relationships/hyperlink" Target="https://login.consultant.ru/link/?req=doc&amp;base=RLAW049&amp;n=144231&amp;dst=100008" TargetMode = "External"/>
	<Relationship Id="rId70" Type="http://schemas.openxmlformats.org/officeDocument/2006/relationships/hyperlink" Target="https://login.consultant.ru/link/?req=doc&amp;base=RLAW049&amp;n=144230&amp;dst=100008" TargetMode = "External"/>
	<Relationship Id="rId71" Type="http://schemas.openxmlformats.org/officeDocument/2006/relationships/hyperlink" Target="https://login.consultant.ru/link/?req=doc&amp;base=RLAW049&amp;n=144229&amp;dst=100008" TargetMode = "External"/>
	<Relationship Id="rId72" Type="http://schemas.openxmlformats.org/officeDocument/2006/relationships/hyperlink" Target="https://login.consultant.ru/link/?req=doc&amp;base=RLAW049&amp;n=144226&amp;dst=100008" TargetMode = "External"/>
	<Relationship Id="rId73" Type="http://schemas.openxmlformats.org/officeDocument/2006/relationships/hyperlink" Target="https://login.consultant.ru/link/?req=doc&amp;base=RLAW049&amp;n=144225&amp;dst=100008" TargetMode = "External"/>
	<Relationship Id="rId74" Type="http://schemas.openxmlformats.org/officeDocument/2006/relationships/hyperlink" Target="https://login.consultant.ru/link/?req=doc&amp;base=RLAW049&amp;n=150450&amp;dst=100008" TargetMode = "External"/>
	<Relationship Id="rId75" Type="http://schemas.openxmlformats.org/officeDocument/2006/relationships/hyperlink" Target="https://login.consultant.ru/link/?req=doc&amp;base=RLAW049&amp;n=152751&amp;dst=100008" TargetMode = "External"/>
	<Relationship Id="rId76" Type="http://schemas.openxmlformats.org/officeDocument/2006/relationships/hyperlink" Target="https://login.consultant.ru/link/?req=doc&amp;base=RLAW049&amp;n=152836&amp;dst=100008" TargetMode = "External"/>
	<Relationship Id="rId77" Type="http://schemas.openxmlformats.org/officeDocument/2006/relationships/hyperlink" Target="https://login.consultant.ru/link/?req=doc&amp;base=RLAW049&amp;n=155119&amp;dst=100008" TargetMode = "External"/>
	<Relationship Id="rId78" Type="http://schemas.openxmlformats.org/officeDocument/2006/relationships/hyperlink" Target="https://login.consultant.ru/link/?req=doc&amp;base=RLAW049&amp;n=155927&amp;dst=100008" TargetMode = "External"/>
	<Relationship Id="rId79" Type="http://schemas.openxmlformats.org/officeDocument/2006/relationships/hyperlink" Target="https://login.consultant.ru/link/?req=doc&amp;base=RLAW049&amp;n=155924&amp;dst=100008" TargetMode = "External"/>
	<Relationship Id="rId80" Type="http://schemas.openxmlformats.org/officeDocument/2006/relationships/hyperlink" Target="https://login.consultant.ru/link/?req=doc&amp;base=RLAW049&amp;n=157592&amp;dst=100008" TargetMode = "External"/>
	<Relationship Id="rId81" Type="http://schemas.openxmlformats.org/officeDocument/2006/relationships/hyperlink" Target="https://login.consultant.ru/link/?req=doc&amp;base=RLAW049&amp;n=157808&amp;dst=100008" TargetMode = "External"/>
	<Relationship Id="rId82" Type="http://schemas.openxmlformats.org/officeDocument/2006/relationships/hyperlink" Target="https://login.consultant.ru/link/?req=doc&amp;base=RLAW049&amp;n=163153&amp;dst=100008" TargetMode = "External"/>
	<Relationship Id="rId83" Type="http://schemas.openxmlformats.org/officeDocument/2006/relationships/hyperlink" Target="https://login.consultant.ru/link/?req=doc&amp;base=RLAW049&amp;n=166065&amp;dst=100008" TargetMode = "External"/>
	<Relationship Id="rId84" Type="http://schemas.openxmlformats.org/officeDocument/2006/relationships/hyperlink" Target="https://login.consultant.ru/link/?req=doc&amp;base=RLAW049&amp;n=167550&amp;dst=100008" TargetMode = "External"/>
	<Relationship Id="rId85" Type="http://schemas.openxmlformats.org/officeDocument/2006/relationships/hyperlink" Target="https://login.consultant.ru/link/?req=doc&amp;base=RLAW049&amp;n=170803&amp;dst=100008" TargetMode = "External"/>
	<Relationship Id="rId86" Type="http://schemas.openxmlformats.org/officeDocument/2006/relationships/hyperlink" Target="https://login.consultant.ru/link/?req=doc&amp;base=RLAW049&amp;n=94745&amp;dst=100008" TargetMode = "External"/>
	<Relationship Id="rId87" Type="http://schemas.openxmlformats.org/officeDocument/2006/relationships/hyperlink" Target="https://login.consultant.ru/link/?req=doc&amp;base=RLAW049&amp;n=66063&amp;dst=100009" TargetMode = "External"/>
	<Relationship Id="rId88" Type="http://schemas.openxmlformats.org/officeDocument/2006/relationships/hyperlink" Target="https://login.consultant.ru/link/?req=doc&amp;base=RLAW049&amp;n=163153&amp;dst=100009" TargetMode = "External"/>
	<Relationship Id="rId89" Type="http://schemas.openxmlformats.org/officeDocument/2006/relationships/hyperlink" Target="https://login.consultant.ru/link/?req=doc&amp;base=RLAW049&amp;n=16392&amp;dst=100009" TargetMode = "External"/>
	<Relationship Id="rId90" Type="http://schemas.openxmlformats.org/officeDocument/2006/relationships/hyperlink" Target="https://login.consultant.ru/link/?req=doc&amp;base=RLAW049&amp;n=115339&amp;dst=100009" TargetMode = "External"/>
	<Relationship Id="rId91" Type="http://schemas.openxmlformats.org/officeDocument/2006/relationships/hyperlink" Target="https://login.consultant.ru/link/?req=doc&amp;base=LAW&amp;n=475331&amp;dst=103912" TargetMode = "External"/>
	<Relationship Id="rId92" Type="http://schemas.openxmlformats.org/officeDocument/2006/relationships/hyperlink" Target="https://login.consultant.ru/link/?req=doc&amp;base=RLAW049&amp;n=124063&amp;dst=100009" TargetMode = "External"/>
	<Relationship Id="rId93" Type="http://schemas.openxmlformats.org/officeDocument/2006/relationships/hyperlink" Target="https://login.consultant.ru/link/?req=doc&amp;base=RLAW049&amp;n=144230&amp;dst=100009" TargetMode = "External"/>
	<Relationship Id="rId94" Type="http://schemas.openxmlformats.org/officeDocument/2006/relationships/hyperlink" Target="https://login.consultant.ru/link/?req=doc&amp;base=LAW&amp;n=475331&amp;dst=18372" TargetMode = "External"/>
	<Relationship Id="rId95" Type="http://schemas.openxmlformats.org/officeDocument/2006/relationships/hyperlink" Target="https://login.consultant.ru/link/?req=doc&amp;base=RLAW049&amp;n=21908&amp;dst=100011" TargetMode = "External"/>
	<Relationship Id="rId96" Type="http://schemas.openxmlformats.org/officeDocument/2006/relationships/hyperlink" Target="https://login.consultant.ru/link/?req=doc&amp;base=RLAW049&amp;n=144226&amp;dst=100010" TargetMode = "External"/>
	<Relationship Id="rId97" Type="http://schemas.openxmlformats.org/officeDocument/2006/relationships/hyperlink" Target="https://login.consultant.ru/link/?req=doc&amp;base=RLAW049&amp;n=21908&amp;dst=100012" TargetMode = "External"/>
	<Relationship Id="rId98" Type="http://schemas.openxmlformats.org/officeDocument/2006/relationships/hyperlink" Target="https://login.consultant.ru/link/?req=doc&amp;base=RLAW049&amp;n=144226&amp;dst=100011" TargetMode = "External"/>
	<Relationship Id="rId99" Type="http://schemas.openxmlformats.org/officeDocument/2006/relationships/hyperlink" Target="https://login.consultant.ru/link/?req=doc&amp;base=RLAW049&amp;n=21908&amp;dst=100013" TargetMode = "External"/>
	<Relationship Id="rId100" Type="http://schemas.openxmlformats.org/officeDocument/2006/relationships/hyperlink" Target="https://login.consultant.ru/link/?req=doc&amp;base=RLAW049&amp;n=144226&amp;dst=100012" TargetMode = "External"/>
	<Relationship Id="rId101" Type="http://schemas.openxmlformats.org/officeDocument/2006/relationships/hyperlink" Target="https://login.consultant.ru/link/?req=doc&amp;base=RLAW049&amp;n=21908&amp;dst=100018" TargetMode = "External"/>
	<Relationship Id="rId102" Type="http://schemas.openxmlformats.org/officeDocument/2006/relationships/hyperlink" Target="https://login.consultant.ru/link/?req=doc&amp;base=RLAW049&amp;n=144226&amp;dst=100013" TargetMode = "External"/>
	<Relationship Id="rId103" Type="http://schemas.openxmlformats.org/officeDocument/2006/relationships/hyperlink" Target="https://login.consultant.ru/link/?req=doc&amp;base=RLAW049&amp;n=21908&amp;dst=100023" TargetMode = "External"/>
	<Relationship Id="rId104" Type="http://schemas.openxmlformats.org/officeDocument/2006/relationships/hyperlink" Target="https://login.consultant.ru/link/?req=doc&amp;base=RLAW049&amp;n=21908&amp;dst=100028" TargetMode = "External"/>
	<Relationship Id="rId105" Type="http://schemas.openxmlformats.org/officeDocument/2006/relationships/hyperlink" Target="https://login.consultant.ru/link/?req=doc&amp;base=RLAW049&amp;n=144226&amp;dst=100015" TargetMode = "External"/>
	<Relationship Id="rId106" Type="http://schemas.openxmlformats.org/officeDocument/2006/relationships/hyperlink" Target="https://login.consultant.ru/link/?req=doc&amp;base=RLAW049&amp;n=21908&amp;dst=100029" TargetMode = "External"/>
	<Relationship Id="rId107" Type="http://schemas.openxmlformats.org/officeDocument/2006/relationships/hyperlink" Target="https://login.consultant.ru/link/?req=doc&amp;base=RLAW049&amp;n=144226&amp;dst=100016" TargetMode = "External"/>
	<Relationship Id="rId108" Type="http://schemas.openxmlformats.org/officeDocument/2006/relationships/hyperlink" Target="https://login.consultant.ru/link/?req=doc&amp;base=RLAW049&amp;n=144226&amp;dst=100017" TargetMode = "External"/>
	<Relationship Id="rId109" Type="http://schemas.openxmlformats.org/officeDocument/2006/relationships/hyperlink" Target="https://login.consultant.ru/link/?req=doc&amp;base=RLAW049&amp;n=144226&amp;dst=100023" TargetMode = "External"/>
	<Relationship Id="rId110" Type="http://schemas.openxmlformats.org/officeDocument/2006/relationships/hyperlink" Target="https://login.consultant.ru/link/?req=doc&amp;base=RLAW049&amp;n=67325&amp;dst=100009" TargetMode = "External"/>
	<Relationship Id="rId111" Type="http://schemas.openxmlformats.org/officeDocument/2006/relationships/hyperlink" Target="https://login.consultant.ru/link/?req=doc&amp;base=RLAW049&amp;n=67325&amp;dst=100011" TargetMode = "External"/>
	<Relationship Id="rId112" Type="http://schemas.openxmlformats.org/officeDocument/2006/relationships/hyperlink" Target="https://login.consultant.ru/link/?req=doc&amp;base=RLAW049&amp;n=21908&amp;dst=100038" TargetMode = "External"/>
	<Relationship Id="rId113" Type="http://schemas.openxmlformats.org/officeDocument/2006/relationships/hyperlink" Target="https://login.consultant.ru/link/?req=doc&amp;base=RLAW049&amp;n=144226&amp;dst=100025" TargetMode = "External"/>
	<Relationship Id="rId114" Type="http://schemas.openxmlformats.org/officeDocument/2006/relationships/hyperlink" Target="https://login.consultant.ru/link/?req=doc&amp;base=RLAW049&amp;n=21908&amp;dst=100039" TargetMode = "External"/>
	<Relationship Id="rId115" Type="http://schemas.openxmlformats.org/officeDocument/2006/relationships/hyperlink" Target="https://login.consultant.ru/link/?req=doc&amp;base=RLAW049&amp;n=144226&amp;dst=100026" TargetMode = "External"/>
	<Relationship Id="rId116" Type="http://schemas.openxmlformats.org/officeDocument/2006/relationships/hyperlink" Target="https://login.consultant.ru/link/?req=doc&amp;base=RLAW049&amp;n=21908&amp;dst=100040" TargetMode = "External"/>
	<Relationship Id="rId117" Type="http://schemas.openxmlformats.org/officeDocument/2006/relationships/hyperlink" Target="https://login.consultant.ru/link/?req=doc&amp;base=RLAW049&amp;n=144226&amp;dst=100028" TargetMode = "External"/>
	<Relationship Id="rId118" Type="http://schemas.openxmlformats.org/officeDocument/2006/relationships/hyperlink" Target="https://login.consultant.ru/link/?req=doc&amp;base=RLAW049&amp;n=21908&amp;dst=100041" TargetMode = "External"/>
	<Relationship Id="rId119" Type="http://schemas.openxmlformats.org/officeDocument/2006/relationships/hyperlink" Target="https://login.consultant.ru/link/?req=doc&amp;base=RLAW049&amp;n=144226&amp;dst=100029" TargetMode = "External"/>
	<Relationship Id="rId120" Type="http://schemas.openxmlformats.org/officeDocument/2006/relationships/hyperlink" Target="https://login.consultant.ru/link/?req=doc&amp;base=RLAW049&amp;n=21908&amp;dst=100042" TargetMode = "External"/>
	<Relationship Id="rId121" Type="http://schemas.openxmlformats.org/officeDocument/2006/relationships/hyperlink" Target="https://login.consultant.ru/link/?req=doc&amp;base=RLAW049&amp;n=144226&amp;dst=100031" TargetMode = "External"/>
	<Relationship Id="rId122" Type="http://schemas.openxmlformats.org/officeDocument/2006/relationships/hyperlink" Target="https://login.consultant.ru/link/?req=doc&amp;base=RLAW049&amp;n=21908&amp;dst=100043" TargetMode = "External"/>
	<Relationship Id="rId123" Type="http://schemas.openxmlformats.org/officeDocument/2006/relationships/hyperlink" Target="https://login.consultant.ru/link/?req=doc&amp;base=RLAW049&amp;n=144226&amp;dst=100032" TargetMode = "External"/>
	<Relationship Id="rId124" Type="http://schemas.openxmlformats.org/officeDocument/2006/relationships/hyperlink" Target="https://login.consultant.ru/link/?req=doc&amp;base=RLAW049&amp;n=21908&amp;dst=100044" TargetMode = "External"/>
	<Relationship Id="rId125" Type="http://schemas.openxmlformats.org/officeDocument/2006/relationships/hyperlink" Target="https://login.consultant.ru/link/?req=doc&amp;base=RLAW049&amp;n=144226&amp;dst=100034" TargetMode = "External"/>
	<Relationship Id="rId126" Type="http://schemas.openxmlformats.org/officeDocument/2006/relationships/hyperlink" Target="https://login.consultant.ru/link/?req=doc&amp;base=RLAW049&amp;n=21908&amp;dst=100045" TargetMode = "External"/>
	<Relationship Id="rId127" Type="http://schemas.openxmlformats.org/officeDocument/2006/relationships/hyperlink" Target="https://login.consultant.ru/link/?req=doc&amp;base=RLAW049&amp;n=144226&amp;dst=100035" TargetMode = "External"/>
	<Relationship Id="rId128" Type="http://schemas.openxmlformats.org/officeDocument/2006/relationships/hyperlink" Target="https://login.consultant.ru/link/?req=doc&amp;base=RLAW049&amp;n=124063&amp;dst=100010" TargetMode = "External"/>
	<Relationship Id="rId129" Type="http://schemas.openxmlformats.org/officeDocument/2006/relationships/hyperlink" Target="https://login.consultant.ru/link/?req=doc&amp;base=RLAW049&amp;n=144226&amp;dst=100036" TargetMode = "External"/>
	<Relationship Id="rId130" Type="http://schemas.openxmlformats.org/officeDocument/2006/relationships/hyperlink" Target="https://login.consultant.ru/link/?req=doc&amp;base=RLAW049&amp;n=16392&amp;dst=100105" TargetMode = "External"/>
	<Relationship Id="rId131" Type="http://schemas.openxmlformats.org/officeDocument/2006/relationships/hyperlink" Target="https://login.consultant.ru/link/?req=doc&amp;base=RLAW049&amp;n=144226&amp;dst=100037" TargetMode = "External"/>
	<Relationship Id="rId132" Type="http://schemas.openxmlformats.org/officeDocument/2006/relationships/hyperlink" Target="https://login.consultant.ru/link/?req=doc&amp;base=RLAW049&amp;n=144226&amp;dst=100038" TargetMode = "External"/>
	<Relationship Id="rId133" Type="http://schemas.openxmlformats.org/officeDocument/2006/relationships/hyperlink" Target="https://login.consultant.ru/link/?req=doc&amp;base=RLAW049&amp;n=124063&amp;dst=100011" TargetMode = "External"/>
	<Relationship Id="rId134" Type="http://schemas.openxmlformats.org/officeDocument/2006/relationships/hyperlink" Target="https://login.consultant.ru/link/?req=doc&amp;base=RLAW049&amp;n=144230&amp;dst=100010" TargetMode = "External"/>
	<Relationship Id="rId135" Type="http://schemas.openxmlformats.org/officeDocument/2006/relationships/hyperlink" Target="https://login.consultant.ru/link/?req=doc&amp;base=RLAW049&amp;n=150450&amp;dst=100009" TargetMode = "External"/>
	<Relationship Id="rId136" Type="http://schemas.openxmlformats.org/officeDocument/2006/relationships/hyperlink" Target="https://login.consultant.ru/link/?req=doc&amp;base=RLAW049&amp;n=143385&amp;dst=100008" TargetMode = "External"/>
	<Relationship Id="rId137" Type="http://schemas.openxmlformats.org/officeDocument/2006/relationships/hyperlink" Target="https://login.consultant.ru/link/?req=doc&amp;base=RLAW049&amp;n=143385&amp;dst=100015" TargetMode = "External"/>
	<Relationship Id="rId138" Type="http://schemas.openxmlformats.org/officeDocument/2006/relationships/hyperlink" Target="https://login.consultant.ru/link/?req=doc&amp;base=RLAW049&amp;n=144230&amp;dst=100012" TargetMode = "External"/>
	<Relationship Id="rId139" Type="http://schemas.openxmlformats.org/officeDocument/2006/relationships/hyperlink" Target="https://login.consultant.ru/link/?req=doc&amp;base=RLAW049&amp;n=56097&amp;dst=100012" TargetMode = "External"/>
	<Relationship Id="rId140" Type="http://schemas.openxmlformats.org/officeDocument/2006/relationships/hyperlink" Target="https://login.consultant.ru/link/?req=doc&amp;base=RLAW049&amp;n=120298&amp;dst=100010" TargetMode = "External"/>
	<Relationship Id="rId141" Type="http://schemas.openxmlformats.org/officeDocument/2006/relationships/hyperlink" Target="https://login.consultant.ru/link/?req=doc&amp;base=RLAW049&amp;n=143385&amp;dst=100009" TargetMode = "External"/>
	<Relationship Id="rId142" Type="http://schemas.openxmlformats.org/officeDocument/2006/relationships/hyperlink" Target="https://login.consultant.ru/link/?req=doc&amp;base=RLAW049&amp;n=143384&amp;dst=100010" TargetMode = "External"/>
	<Relationship Id="rId143" Type="http://schemas.openxmlformats.org/officeDocument/2006/relationships/hyperlink" Target="https://login.consultant.ru/link/?req=doc&amp;base=RLAW049&amp;n=170803&amp;dst=100010" TargetMode = "External"/>
	<Relationship Id="rId144" Type="http://schemas.openxmlformats.org/officeDocument/2006/relationships/hyperlink" Target="https://login.consultant.ru/link/?req=doc&amp;base=RLAW049&amp;n=170803&amp;dst=100021" TargetMode = "External"/>
	<Relationship Id="rId145" Type="http://schemas.openxmlformats.org/officeDocument/2006/relationships/hyperlink" Target="https://login.consultant.ru/link/?req=doc&amp;base=LAW&amp;n=468900" TargetMode = "External"/>
	<Relationship Id="rId146" Type="http://schemas.openxmlformats.org/officeDocument/2006/relationships/hyperlink" Target="https://login.consultant.ru/link/?req=doc&amp;base=RLAW049&amp;n=170803&amp;dst=100010" TargetMode = "External"/>
	<Relationship Id="rId147" Type="http://schemas.openxmlformats.org/officeDocument/2006/relationships/hyperlink" Target="https://login.consultant.ru/link/?req=doc&amp;base=RLAW049&amp;n=114502&amp;dst=100011" TargetMode = "External"/>
	<Relationship Id="rId148" Type="http://schemas.openxmlformats.org/officeDocument/2006/relationships/hyperlink" Target="https://login.consultant.ru/link/?req=doc&amp;base=RLAW049&amp;n=120349&amp;dst=100037" TargetMode = "External"/>
	<Relationship Id="rId149" Type="http://schemas.openxmlformats.org/officeDocument/2006/relationships/hyperlink" Target="https://login.consultant.ru/link/?req=doc&amp;base=RLAW049&amp;n=114502&amp;dst=100029" TargetMode = "External"/>
	<Relationship Id="rId150" Type="http://schemas.openxmlformats.org/officeDocument/2006/relationships/hyperlink" Target="https://login.consultant.ru/link/?req=doc&amp;base=RLAW049&amp;n=166012" TargetMode = "External"/>
	<Relationship Id="rId151" Type="http://schemas.openxmlformats.org/officeDocument/2006/relationships/hyperlink" Target="https://login.consultant.ru/link/?req=doc&amp;base=RLAW049&amp;n=114502&amp;dst=100049" TargetMode = "External"/>
	<Relationship Id="rId152" Type="http://schemas.openxmlformats.org/officeDocument/2006/relationships/hyperlink" Target="https://login.consultant.ru/link/?req=doc&amp;base=LAW&amp;n=475331&amp;dst=103916" TargetMode = "External"/>
	<Relationship Id="rId153" Type="http://schemas.openxmlformats.org/officeDocument/2006/relationships/hyperlink" Target="https://login.consultant.ru/link/?req=doc&amp;base=RLAW049&amp;n=75881&amp;dst=100013" TargetMode = "External"/>
	<Relationship Id="rId154" Type="http://schemas.openxmlformats.org/officeDocument/2006/relationships/hyperlink" Target="https://login.consultant.ru/link/?req=doc&amp;base=RLAW049&amp;n=114502&amp;dst=100050" TargetMode = "External"/>
	<Relationship Id="rId155" Type="http://schemas.openxmlformats.org/officeDocument/2006/relationships/hyperlink" Target="https://login.consultant.ru/link/?req=doc&amp;base=RLAW049&amp;n=170803&amp;dst=100012" TargetMode = "External"/>
	<Relationship Id="rId156" Type="http://schemas.openxmlformats.org/officeDocument/2006/relationships/hyperlink" Target="https://login.consultant.ru/link/?req=doc&amp;base=RLAW049&amp;n=170803&amp;dst=100021" TargetMode = "External"/>
	<Relationship Id="rId157" Type="http://schemas.openxmlformats.org/officeDocument/2006/relationships/hyperlink" Target="https://login.consultant.ru/link/?req=doc&amp;base=RLAW049&amp;n=75881&amp;dst=100017" TargetMode = "External"/>
	<Relationship Id="rId158" Type="http://schemas.openxmlformats.org/officeDocument/2006/relationships/hyperlink" Target="https://login.consultant.ru/link/?req=doc&amp;base=RLAW049&amp;n=114502&amp;dst=100057" TargetMode = "External"/>
	<Relationship Id="rId159" Type="http://schemas.openxmlformats.org/officeDocument/2006/relationships/hyperlink" Target="https://login.consultant.ru/link/?req=doc&amp;base=RLAW049&amp;n=120298&amp;dst=100011" TargetMode = "External"/>
	<Relationship Id="rId160" Type="http://schemas.openxmlformats.org/officeDocument/2006/relationships/hyperlink" Target="https://login.consultant.ru/link/?req=doc&amp;base=RLAW049&amp;n=143384&amp;dst=100012" TargetMode = "External"/>
	<Relationship Id="rId161" Type="http://schemas.openxmlformats.org/officeDocument/2006/relationships/hyperlink" Target="https://login.consultant.ru/link/?req=doc&amp;base=RLAW049&amp;n=144230&amp;dst=100013" TargetMode = "External"/>
	<Relationship Id="rId162" Type="http://schemas.openxmlformats.org/officeDocument/2006/relationships/hyperlink" Target="https://login.consultant.ru/link/?req=doc&amp;base=RLAW049&amp;n=170803&amp;dst=100012" TargetMode = "External"/>
	<Relationship Id="rId163" Type="http://schemas.openxmlformats.org/officeDocument/2006/relationships/hyperlink" Target="https://login.consultant.ru/link/?req=doc&amp;base=RLAW049&amp;n=144230&amp;dst=100014" TargetMode = "External"/>
	<Relationship Id="rId164" Type="http://schemas.openxmlformats.org/officeDocument/2006/relationships/hyperlink" Target="https://login.consultant.ru/link/?req=doc&amp;base=RLAW049&amp;n=124063&amp;dst=100014" TargetMode = "External"/>
	<Relationship Id="rId165" Type="http://schemas.openxmlformats.org/officeDocument/2006/relationships/hyperlink" Target="https://login.consultant.ru/link/?req=doc&amp;base=RLAW049&amp;n=120298&amp;dst=100012" TargetMode = "External"/>
	<Relationship Id="rId166" Type="http://schemas.openxmlformats.org/officeDocument/2006/relationships/hyperlink" Target="https://login.consultant.ru/link/?req=doc&amp;base=RLAW049&amp;n=143385&amp;dst=100011" TargetMode = "External"/>
	<Relationship Id="rId167" Type="http://schemas.openxmlformats.org/officeDocument/2006/relationships/hyperlink" Target="https://login.consultant.ru/link/?req=doc&amp;base=RLAW049&amp;n=144230&amp;dst=100015" TargetMode = "External"/>
	<Relationship Id="rId168" Type="http://schemas.openxmlformats.org/officeDocument/2006/relationships/hyperlink" Target="https://login.consultant.ru/link/?req=doc&amp;base=RLAW049&amp;n=170803&amp;dst=100013" TargetMode = "External"/>
	<Relationship Id="rId169" Type="http://schemas.openxmlformats.org/officeDocument/2006/relationships/hyperlink" Target="https://login.consultant.ru/link/?req=doc&amp;base=RLAW049&amp;n=170803&amp;dst=100021" TargetMode = "External"/>
	<Relationship Id="rId170" Type="http://schemas.openxmlformats.org/officeDocument/2006/relationships/hyperlink" Target="https://login.consultant.ru/link/?req=doc&amp;base=RLAW049&amp;n=170803&amp;dst=100013" TargetMode = "External"/>
	<Relationship Id="rId171" Type="http://schemas.openxmlformats.org/officeDocument/2006/relationships/hyperlink" Target="https://login.consultant.ru/link/?req=doc&amp;base=RLAW049&amp;n=144230&amp;dst=100016" TargetMode = "External"/>
	<Relationship Id="rId172" Type="http://schemas.openxmlformats.org/officeDocument/2006/relationships/hyperlink" Target="https://login.consultant.ru/link/?req=doc&amp;base=RLAW049&amp;n=75881&amp;dst=100018" TargetMode = "External"/>
	<Relationship Id="rId173" Type="http://schemas.openxmlformats.org/officeDocument/2006/relationships/hyperlink" Target="https://login.consultant.ru/link/?req=doc&amp;base=RLAW049&amp;n=144230&amp;dst=100017" TargetMode = "External"/>
	<Relationship Id="rId174" Type="http://schemas.openxmlformats.org/officeDocument/2006/relationships/hyperlink" Target="https://login.consultant.ru/link/?req=doc&amp;base=RLAW049&amp;n=114502&amp;dst=100061" TargetMode = "External"/>
	<Relationship Id="rId175" Type="http://schemas.openxmlformats.org/officeDocument/2006/relationships/hyperlink" Target="https://login.consultant.ru/link/?req=doc&amp;base=RLAW049&amp;n=21908&amp;dst=100059" TargetMode = "External"/>
	<Relationship Id="rId176" Type="http://schemas.openxmlformats.org/officeDocument/2006/relationships/hyperlink" Target="https://login.consultant.ru/link/?req=doc&amp;base=LAW&amp;n=475331&amp;dst=20545" TargetMode = "External"/>
	<Relationship Id="rId177" Type="http://schemas.openxmlformats.org/officeDocument/2006/relationships/hyperlink" Target="https://login.consultant.ru/link/?req=doc&amp;base=RLAW049&amp;n=114502&amp;dst=100065" TargetMode = "External"/>
	<Relationship Id="rId178" Type="http://schemas.openxmlformats.org/officeDocument/2006/relationships/hyperlink" Target="https://login.consultant.ru/link/?req=doc&amp;base=RLAW049&amp;n=13720&amp;dst=100008" TargetMode = "External"/>
	<Relationship Id="rId179" Type="http://schemas.openxmlformats.org/officeDocument/2006/relationships/hyperlink" Target="https://login.consultant.ru/link/?req=doc&amp;base=LAW&amp;n=475331&amp;dst=199" TargetMode = "External"/>
	<Relationship Id="rId180" Type="http://schemas.openxmlformats.org/officeDocument/2006/relationships/hyperlink" Target="https://login.consultant.ru/link/?req=doc&amp;base=RLAW049&amp;n=25376&amp;dst=100009" TargetMode = "External"/>
	<Relationship Id="rId181" Type="http://schemas.openxmlformats.org/officeDocument/2006/relationships/hyperlink" Target="https://login.consultant.ru/link/?req=doc&amp;base=RLAW049&amp;n=76393&amp;dst=100009" TargetMode = "External"/>
	<Relationship Id="rId182" Type="http://schemas.openxmlformats.org/officeDocument/2006/relationships/hyperlink" Target="https://login.consultant.ru/link/?req=doc&amp;base=RLAW049&amp;n=144229&amp;dst=100009" TargetMode = "External"/>
	<Relationship Id="rId183" Type="http://schemas.openxmlformats.org/officeDocument/2006/relationships/hyperlink" Target="https://login.consultant.ru/link/?req=doc&amp;base=RLAW049&amp;n=76393&amp;dst=100010" TargetMode = "External"/>
	<Relationship Id="rId184" Type="http://schemas.openxmlformats.org/officeDocument/2006/relationships/hyperlink" Target="https://login.consultant.ru/link/?req=doc&amp;base=LAW&amp;n=475331&amp;dst=9233" TargetMode = "External"/>
	<Relationship Id="rId185" Type="http://schemas.openxmlformats.org/officeDocument/2006/relationships/hyperlink" Target="https://login.consultant.ru/link/?req=doc&amp;base=RLAW049&amp;n=144229&amp;dst=100011" TargetMode = "External"/>
	<Relationship Id="rId186" Type="http://schemas.openxmlformats.org/officeDocument/2006/relationships/hyperlink" Target="https://login.consultant.ru/link/?req=doc&amp;base=RLAW049&amp;n=144229&amp;dst=100012" TargetMode = "External"/>
	<Relationship Id="rId187" Type="http://schemas.openxmlformats.org/officeDocument/2006/relationships/hyperlink" Target="https://login.consultant.ru/link/?req=doc&amp;base=RLAW049&amp;n=16392&amp;dst=100014" TargetMode = "External"/>
	<Relationship Id="rId188" Type="http://schemas.openxmlformats.org/officeDocument/2006/relationships/hyperlink" Target="https://login.consultant.ru/link/?req=doc&amp;base=RLAW049&amp;n=54874&amp;dst=100023" TargetMode = "External"/>
	<Relationship Id="rId189" Type="http://schemas.openxmlformats.org/officeDocument/2006/relationships/hyperlink" Target="https://login.consultant.ru/link/?req=doc&amp;base=RLAW049&amp;n=144229&amp;dst=100013" TargetMode = "External"/>
	<Relationship Id="rId190" Type="http://schemas.openxmlformats.org/officeDocument/2006/relationships/hyperlink" Target="https://login.consultant.ru/link/?req=doc&amp;base=RLAW049&amp;n=54874&amp;dst=100025" TargetMode = "External"/>
	<Relationship Id="rId191" Type="http://schemas.openxmlformats.org/officeDocument/2006/relationships/hyperlink" Target="https://login.consultant.ru/link/?req=doc&amp;base=RLAW049&amp;n=150450&amp;dst=100010" TargetMode = "External"/>
	<Relationship Id="rId192" Type="http://schemas.openxmlformats.org/officeDocument/2006/relationships/hyperlink" Target="https://login.consultant.ru/link/?req=doc&amp;base=RLAW049&amp;n=25376&amp;dst=100010" TargetMode = "External"/>
	<Relationship Id="rId193" Type="http://schemas.openxmlformats.org/officeDocument/2006/relationships/hyperlink" Target="https://login.consultant.ru/link/?req=doc&amp;base=RLAW049&amp;n=76393&amp;dst=100016" TargetMode = "External"/>
	<Relationship Id="rId194" Type="http://schemas.openxmlformats.org/officeDocument/2006/relationships/hyperlink" Target="https://login.consultant.ru/link/?req=doc&amp;base=RLAW049&amp;n=156000&amp;dst=100011" TargetMode = "External"/>
	<Relationship Id="rId195" Type="http://schemas.openxmlformats.org/officeDocument/2006/relationships/hyperlink" Target="https://login.consultant.ru/link/?req=doc&amp;base=RLAW049&amp;n=156000&amp;dst=100012" TargetMode = "External"/>
	<Relationship Id="rId196" Type="http://schemas.openxmlformats.org/officeDocument/2006/relationships/hyperlink" Target="https://login.consultant.ru/link/?req=doc&amp;base=RLAW049&amp;n=124062&amp;dst=100009" TargetMode = "External"/>
	<Relationship Id="rId197" Type="http://schemas.openxmlformats.org/officeDocument/2006/relationships/hyperlink" Target="https://login.consultant.ru/link/?req=doc&amp;base=LAW&amp;n=148609" TargetMode = "External"/>
	<Relationship Id="rId198" Type="http://schemas.openxmlformats.org/officeDocument/2006/relationships/hyperlink" Target="https://login.consultant.ru/link/?req=doc&amp;base=RLAW049&amp;n=75881&amp;dst=100024" TargetMode = "External"/>
	<Relationship Id="rId199" Type="http://schemas.openxmlformats.org/officeDocument/2006/relationships/hyperlink" Target="https://login.consultant.ru/link/?req=doc&amp;base=RLAW049&amp;n=163153&amp;dst=100010" TargetMode = "External"/>
	<Relationship Id="rId200" Type="http://schemas.openxmlformats.org/officeDocument/2006/relationships/hyperlink" Target="https://login.consultant.ru/link/?req=doc&amp;base=RLAW049&amp;n=66063&amp;dst=100011" TargetMode = "External"/>
	<Relationship Id="rId201" Type="http://schemas.openxmlformats.org/officeDocument/2006/relationships/hyperlink" Target="https://login.consultant.ru/link/?req=doc&amp;base=RLAW049&amp;n=163153&amp;dst=100012" TargetMode = "External"/>
	<Relationship Id="rId202" Type="http://schemas.openxmlformats.org/officeDocument/2006/relationships/hyperlink" Target="https://login.consultant.ru/link/?req=doc&amp;base=RLAW049&amp;n=135473&amp;dst=100008" TargetMode = "External"/>
	<Relationship Id="rId203" Type="http://schemas.openxmlformats.org/officeDocument/2006/relationships/hyperlink" Target="https://login.consultant.ru/link/?req=doc&amp;base=RLAW049&amp;n=163153&amp;dst=100015" TargetMode = "External"/>
	<Relationship Id="rId204" Type="http://schemas.openxmlformats.org/officeDocument/2006/relationships/hyperlink" Target="https://login.consultant.ru/link/?req=doc&amp;base=LAW&amp;n=474032&amp;dst=100348" TargetMode = "External"/>
	<Relationship Id="rId205" Type="http://schemas.openxmlformats.org/officeDocument/2006/relationships/hyperlink" Target="https://login.consultant.ru/link/?req=doc&amp;base=LAW&amp;n=474032&amp;dst=100349" TargetMode = "External"/>
	<Relationship Id="rId206" Type="http://schemas.openxmlformats.org/officeDocument/2006/relationships/hyperlink" Target="https://login.consultant.ru/link/?req=doc&amp;base=RLAW049&amp;n=163153&amp;dst=100016" TargetMode = "External"/>
	<Relationship Id="rId207" Type="http://schemas.openxmlformats.org/officeDocument/2006/relationships/hyperlink" Target="https://login.consultant.ru/link/?req=doc&amp;base=RLAW049&amp;n=163153&amp;dst=100017" TargetMode = "External"/>
	<Relationship Id="rId208" Type="http://schemas.openxmlformats.org/officeDocument/2006/relationships/hyperlink" Target="https://login.consultant.ru/link/?req=doc&amp;base=RLAW049&amp;n=135473&amp;dst=100026" TargetMode = "External"/>
	<Relationship Id="rId209" Type="http://schemas.openxmlformats.org/officeDocument/2006/relationships/hyperlink" Target="https://login.consultant.ru/link/?req=doc&amp;base=RLAW049&amp;n=152751&amp;dst=100020" TargetMode = "External"/>
	<Relationship Id="rId210" Type="http://schemas.openxmlformats.org/officeDocument/2006/relationships/hyperlink" Target="https://login.consultant.ru/link/?req=doc&amp;base=RLAW049&amp;n=163153&amp;dst=100020" TargetMode = "External"/>
	<Relationship Id="rId211" Type="http://schemas.openxmlformats.org/officeDocument/2006/relationships/hyperlink" Target="https://login.consultant.ru/link/?req=doc&amp;base=RLAW049&amp;n=163153&amp;dst=100022" TargetMode = "External"/>
	<Relationship Id="rId212" Type="http://schemas.openxmlformats.org/officeDocument/2006/relationships/hyperlink" Target="https://login.consultant.ru/link/?req=doc&amp;base=RLAW049&amp;n=152751&amp;dst=100012" TargetMode = "External"/>
	<Relationship Id="rId213" Type="http://schemas.openxmlformats.org/officeDocument/2006/relationships/hyperlink" Target="https://login.consultant.ru/link/?req=doc&amp;base=RLAW049&amp;n=163153&amp;dst=100023" TargetMode = "External"/>
	<Relationship Id="rId214" Type="http://schemas.openxmlformats.org/officeDocument/2006/relationships/hyperlink" Target="https://login.consultant.ru/link/?req=doc&amp;base=RLAW049&amp;n=163153&amp;dst=100024" TargetMode = "External"/>
	<Relationship Id="rId215" Type="http://schemas.openxmlformats.org/officeDocument/2006/relationships/hyperlink" Target="https://login.consultant.ru/link/?req=doc&amp;base=RLAW049&amp;n=135473&amp;dst=100026" TargetMode = "External"/>
	<Relationship Id="rId216" Type="http://schemas.openxmlformats.org/officeDocument/2006/relationships/hyperlink" Target="https://login.consultant.ru/link/?req=doc&amp;base=RLAW049&amp;n=152751&amp;dst=100020" TargetMode = "External"/>
	<Relationship Id="rId217" Type="http://schemas.openxmlformats.org/officeDocument/2006/relationships/hyperlink" Target="https://login.consultant.ru/link/?req=doc&amp;base=RLAW049&amp;n=19045&amp;dst=100009" TargetMode = "External"/>
	<Relationship Id="rId218" Type="http://schemas.openxmlformats.org/officeDocument/2006/relationships/hyperlink" Target="https://login.consultant.ru/link/?req=doc&amp;base=RLAW049&amp;n=59472&amp;dst=100009" TargetMode = "External"/>
	<Relationship Id="rId219" Type="http://schemas.openxmlformats.org/officeDocument/2006/relationships/hyperlink" Target="https://login.consultant.ru/link/?req=doc&amp;base=RLAW049&amp;n=59472&amp;dst=100010" TargetMode = "External"/>
	<Relationship Id="rId220" Type="http://schemas.openxmlformats.org/officeDocument/2006/relationships/hyperlink" Target="https://login.consultant.ru/link/?req=doc&amp;base=RLAW049&amp;n=124062&amp;dst=100011" TargetMode = "External"/>
	<Relationship Id="rId221" Type="http://schemas.openxmlformats.org/officeDocument/2006/relationships/hyperlink" Target="https://login.consultant.ru/link/?req=doc&amp;base=LAW&amp;n=475331&amp;dst=7697" TargetMode = "External"/>
	<Relationship Id="rId222" Type="http://schemas.openxmlformats.org/officeDocument/2006/relationships/hyperlink" Target="https://login.consultant.ru/link/?req=doc&amp;base=RLAW049&amp;n=167594&amp;dst=100010" TargetMode = "External"/>
	<Relationship Id="rId223" Type="http://schemas.openxmlformats.org/officeDocument/2006/relationships/hyperlink" Target="https://login.consultant.ru/link/?req=doc&amp;base=RLAW049&amp;n=167594&amp;dst=100013" TargetMode = "External"/>
	<Relationship Id="rId224" Type="http://schemas.openxmlformats.org/officeDocument/2006/relationships/hyperlink" Target="https://login.consultant.ru/link/?req=doc&amp;base=RLAW049&amp;n=167594&amp;dst=100015" TargetMode = "External"/>
	<Relationship Id="rId225" Type="http://schemas.openxmlformats.org/officeDocument/2006/relationships/hyperlink" Target="https://login.consultant.ru/link/?req=doc&amp;base=RLAW049&amp;n=167550&amp;dst=100009" TargetMode = "External"/>
	<Relationship Id="rId226" Type="http://schemas.openxmlformats.org/officeDocument/2006/relationships/hyperlink" Target="https://login.consultant.ru/link/?req=doc&amp;base=RLAW049&amp;n=167594&amp;dst=100017" TargetMode = "External"/>
	<Relationship Id="rId227" Type="http://schemas.openxmlformats.org/officeDocument/2006/relationships/hyperlink" Target="https://login.consultant.ru/link/?req=doc&amp;base=RLAW049&amp;n=167594&amp;dst=100020" TargetMode = "External"/>
	<Relationship Id="rId228" Type="http://schemas.openxmlformats.org/officeDocument/2006/relationships/hyperlink" Target="https://login.consultant.ru/link/?req=doc&amp;base=RLAW049&amp;n=167594&amp;dst=100021" TargetMode = "External"/>
	<Relationship Id="rId229" Type="http://schemas.openxmlformats.org/officeDocument/2006/relationships/hyperlink" Target="https://login.consultant.ru/link/?req=doc&amp;base=RLAW049&amp;n=167594&amp;dst=100022" TargetMode = "External"/>
	<Relationship Id="rId230" Type="http://schemas.openxmlformats.org/officeDocument/2006/relationships/hyperlink" Target="https://login.consultant.ru/link/?req=doc&amp;base=RLAW049&amp;n=124062&amp;dst=100024" TargetMode = "External"/>
	<Relationship Id="rId231" Type="http://schemas.openxmlformats.org/officeDocument/2006/relationships/hyperlink" Target="https://login.consultant.ru/link/?req=doc&amp;base=RLAW049&amp;n=167594&amp;dst=100026" TargetMode = "External"/>
	<Relationship Id="rId232" Type="http://schemas.openxmlformats.org/officeDocument/2006/relationships/hyperlink" Target="https://login.consultant.ru/link/?req=doc&amp;base=RLAW049&amp;n=167594&amp;dst=100027" TargetMode = "External"/>
	<Relationship Id="rId233" Type="http://schemas.openxmlformats.org/officeDocument/2006/relationships/hyperlink" Target="https://login.consultant.ru/link/?req=doc&amp;base=RLAW049&amp;n=167550&amp;dst=100013" TargetMode = "External"/>
	<Relationship Id="rId234" Type="http://schemas.openxmlformats.org/officeDocument/2006/relationships/hyperlink" Target="https://login.consultant.ru/link/?req=doc&amp;base=RLAW049&amp;n=167550&amp;dst=100014" TargetMode = "External"/>
	<Relationship Id="rId235" Type="http://schemas.openxmlformats.org/officeDocument/2006/relationships/hyperlink" Target="https://login.consultant.ru/link/?req=doc&amp;base=RLAW049&amp;n=133925&amp;dst=100047" TargetMode = "External"/>
	<Relationship Id="rId236" Type="http://schemas.openxmlformats.org/officeDocument/2006/relationships/hyperlink" Target="https://login.consultant.ru/link/?req=doc&amp;base=RLAW049&amp;n=133925&amp;dst=100051" TargetMode = "External"/>
	<Relationship Id="rId237" Type="http://schemas.openxmlformats.org/officeDocument/2006/relationships/hyperlink" Target="https://login.consultant.ru/link/?req=doc&amp;base=RLAW049&amp;n=167550&amp;dst=100015" TargetMode = "External"/>
	<Relationship Id="rId238" Type="http://schemas.openxmlformats.org/officeDocument/2006/relationships/hyperlink" Target="https://login.consultant.ru/link/?req=doc&amp;base=RLAW049&amp;n=133925&amp;dst=100052" TargetMode = "External"/>
	<Relationship Id="rId239" Type="http://schemas.openxmlformats.org/officeDocument/2006/relationships/hyperlink" Target="https://login.consultant.ru/link/?req=doc&amp;base=RLAW049&amp;n=167550&amp;dst=100016" TargetMode = "External"/>
	<Relationship Id="rId240" Type="http://schemas.openxmlformats.org/officeDocument/2006/relationships/hyperlink" Target="https://login.consultant.ru/link/?req=doc&amp;base=RLAW049&amp;n=167550&amp;dst=100017" TargetMode = "External"/>
	<Relationship Id="rId241" Type="http://schemas.openxmlformats.org/officeDocument/2006/relationships/hyperlink" Target="https://login.consultant.ru/link/?req=doc&amp;base=RLAW049&amp;n=167594&amp;dst=100031" TargetMode = "External"/>
	<Relationship Id="rId242" Type="http://schemas.openxmlformats.org/officeDocument/2006/relationships/hyperlink" Target="https://login.consultant.ru/link/?req=doc&amp;base=RLAW049&amp;n=167550&amp;dst=100019" TargetMode = "External"/>
	<Relationship Id="rId243" Type="http://schemas.openxmlformats.org/officeDocument/2006/relationships/hyperlink" Target="https://login.consultant.ru/link/?req=doc&amp;base=RLAW049&amp;n=167550&amp;dst=100020" TargetMode = "External"/>
	<Relationship Id="rId244" Type="http://schemas.openxmlformats.org/officeDocument/2006/relationships/hyperlink" Target="https://login.consultant.ru/link/?req=doc&amp;base=RLAW049&amp;n=167550&amp;dst=100022" TargetMode = "External"/>
	<Relationship Id="rId245" Type="http://schemas.openxmlformats.org/officeDocument/2006/relationships/hyperlink" Target="https://login.consultant.ru/link/?req=doc&amp;base=RLAW049&amp;n=167550&amp;dst=100024" TargetMode = "External"/>
	<Relationship Id="rId246" Type="http://schemas.openxmlformats.org/officeDocument/2006/relationships/hyperlink" Target="https://login.consultant.ru/link/?req=doc&amp;base=RLAW049&amp;n=167594&amp;dst=100033" TargetMode = "External"/>
	<Relationship Id="rId247" Type="http://schemas.openxmlformats.org/officeDocument/2006/relationships/hyperlink" Target="https://login.consultant.ru/link/?req=doc&amp;base=RLAW049&amp;n=167594&amp;dst=100035" TargetMode = "External"/>
	<Relationship Id="rId248" Type="http://schemas.openxmlformats.org/officeDocument/2006/relationships/hyperlink" Target="https://login.consultant.ru/link/?req=doc&amp;base=RLAW049&amp;n=133925&amp;dst=100063" TargetMode = "External"/>
	<Relationship Id="rId249" Type="http://schemas.openxmlformats.org/officeDocument/2006/relationships/hyperlink" Target="https://login.consultant.ru/link/?req=doc&amp;base=RLAW049&amp;n=167594&amp;dst=100038" TargetMode = "External"/>
	<Relationship Id="rId250" Type="http://schemas.openxmlformats.org/officeDocument/2006/relationships/hyperlink" Target="https://login.consultant.ru/link/?req=doc&amp;base=RLAW049&amp;n=167594&amp;dst=100040" TargetMode = "External"/>
	<Relationship Id="rId251" Type="http://schemas.openxmlformats.org/officeDocument/2006/relationships/hyperlink" Target="https://login.consultant.ru/link/?req=doc&amp;base=RLAW049&amp;n=167594&amp;dst=2" TargetMode = "External"/>
	<Relationship Id="rId252" Type="http://schemas.openxmlformats.org/officeDocument/2006/relationships/hyperlink" Target="https://login.consultant.ru/link/?req=doc&amp;base=RLAW049&amp;n=167594&amp;dst=100042" TargetMode = "External"/>
	<Relationship Id="rId253" Type="http://schemas.openxmlformats.org/officeDocument/2006/relationships/hyperlink" Target="https://login.consultant.ru/link/?req=doc&amp;base=RLAW049&amp;n=155998&amp;dst=100012" TargetMode = "External"/>
	<Relationship Id="rId254" Type="http://schemas.openxmlformats.org/officeDocument/2006/relationships/hyperlink" Target="https://login.consultant.ru/link/?req=doc&amp;base=RLAW049&amp;n=155998&amp;dst=100069" TargetMode = "External"/>
	<Relationship Id="rId255" Type="http://schemas.openxmlformats.org/officeDocument/2006/relationships/hyperlink" Target="https://login.consultant.ru/link/?req=doc&amp;base=RLAW049&amp;n=155998&amp;dst=100012" TargetMode = "External"/>
	<Relationship Id="rId256" Type="http://schemas.openxmlformats.org/officeDocument/2006/relationships/hyperlink" Target="https://login.consultant.ru/link/?req=doc&amp;base=LAW&amp;n=475331&amp;dst=11919" TargetMode = "External"/>
	<Relationship Id="rId257" Type="http://schemas.openxmlformats.org/officeDocument/2006/relationships/hyperlink" Target="https://login.consultant.ru/link/?req=doc&amp;base=RLAW049&amp;n=155999&amp;dst=100011" TargetMode = "External"/>
	<Relationship Id="rId258" Type="http://schemas.openxmlformats.org/officeDocument/2006/relationships/hyperlink" Target="https://login.consultant.ru/link/?req=doc&amp;base=RLAW049&amp;n=167594&amp;dst=100045" TargetMode = "External"/>
	<Relationship Id="rId259" Type="http://schemas.openxmlformats.org/officeDocument/2006/relationships/hyperlink" Target="https://login.consultant.ru/link/?req=doc&amp;base=RLAW049&amp;n=167594&amp;dst=100047" TargetMode = "External"/>
	<Relationship Id="rId260" Type="http://schemas.openxmlformats.org/officeDocument/2006/relationships/hyperlink" Target="https://login.consultant.ru/link/?req=doc&amp;base=LAW&amp;n=454208" TargetMode = "External"/>
	<Relationship Id="rId261" Type="http://schemas.openxmlformats.org/officeDocument/2006/relationships/hyperlink" Target="https://login.consultant.ru/link/?req=doc&amp;base=RLAW049&amp;n=124062&amp;dst=100035" TargetMode = "External"/>
	<Relationship Id="rId262" Type="http://schemas.openxmlformats.org/officeDocument/2006/relationships/hyperlink" Target="https://login.consultant.ru/link/?req=doc&amp;base=RLAW049&amp;n=133925&amp;dst=100067" TargetMode = "External"/>
	<Relationship Id="rId263" Type="http://schemas.openxmlformats.org/officeDocument/2006/relationships/hyperlink" Target="https://login.consultant.ru/link/?req=doc&amp;base=RLAW049&amp;n=155999&amp;dst=100012" TargetMode = "External"/>
	<Relationship Id="rId264" Type="http://schemas.openxmlformats.org/officeDocument/2006/relationships/hyperlink" Target="https://login.consultant.ru/link/?req=doc&amp;base=RLAW049&amp;n=155999&amp;dst=101491" TargetMode = "External"/>
	<Relationship Id="rId265" Type="http://schemas.openxmlformats.org/officeDocument/2006/relationships/hyperlink" Target="https://login.consultant.ru/link/?req=doc&amp;base=RLAW049&amp;n=133925&amp;dst=100071" TargetMode = "External"/>
	<Relationship Id="rId266" Type="http://schemas.openxmlformats.org/officeDocument/2006/relationships/hyperlink" Target="https://login.consultant.ru/link/?req=doc&amp;base=RLAW049&amp;n=167594&amp;dst=100051" TargetMode = "External"/>
	<Relationship Id="rId267" Type="http://schemas.openxmlformats.org/officeDocument/2006/relationships/hyperlink" Target="https://login.consultant.ru/link/?req=doc&amp;base=RLAW049&amp;n=133925&amp;dst=100073" TargetMode = "External"/>
	<Relationship Id="rId268" Type="http://schemas.openxmlformats.org/officeDocument/2006/relationships/hyperlink" Target="https://login.consultant.ru/link/?req=doc&amp;base=RLAW049&amp;n=167594&amp;dst=100052" TargetMode = "External"/>
	<Relationship Id="rId269" Type="http://schemas.openxmlformats.org/officeDocument/2006/relationships/hyperlink" Target="https://login.consultant.ru/link/?req=doc&amp;base=RLAW049&amp;n=167594&amp;dst=100054" TargetMode = "External"/>
	<Relationship Id="rId270" Type="http://schemas.openxmlformats.org/officeDocument/2006/relationships/hyperlink" Target="https://login.consultant.ru/link/?req=doc&amp;base=RLAW049&amp;n=167594&amp;dst=100057" TargetMode = "External"/>
	<Relationship Id="rId271" Type="http://schemas.openxmlformats.org/officeDocument/2006/relationships/hyperlink" Target="https://login.consultant.ru/link/?req=doc&amp;base=RLAW049&amp;n=167594&amp;dst=100058" TargetMode = "External"/>
	<Relationship Id="rId272" Type="http://schemas.openxmlformats.org/officeDocument/2006/relationships/hyperlink" Target="https://login.consultant.ru/link/?req=doc&amp;base=RLAW049&amp;n=167594&amp;dst=100060" TargetMode = "External"/>
	<Relationship Id="rId273" Type="http://schemas.openxmlformats.org/officeDocument/2006/relationships/hyperlink" Target="https://login.consultant.ru/link/?req=doc&amp;base=RLAW049&amp;n=167594&amp;dst=100062" TargetMode = "External"/>
	<Relationship Id="rId274" Type="http://schemas.openxmlformats.org/officeDocument/2006/relationships/hyperlink" Target="https://login.consultant.ru/link/?req=doc&amp;base=RLAW049&amp;n=133925&amp;dst=100075" TargetMode = "External"/>
	<Relationship Id="rId275" Type="http://schemas.openxmlformats.org/officeDocument/2006/relationships/hyperlink" Target="https://login.consultant.ru/link/?req=doc&amp;base=RLAW049&amp;n=167594&amp;dst=100063" TargetMode = "External"/>
	<Relationship Id="rId276" Type="http://schemas.openxmlformats.org/officeDocument/2006/relationships/hyperlink" Target="https://login.consultant.ru/link/?req=doc&amp;base=RLAW049&amp;n=167594&amp;dst=100065" TargetMode = "External"/>
	<Relationship Id="rId277" Type="http://schemas.openxmlformats.org/officeDocument/2006/relationships/hyperlink" Target="https://login.consultant.ru/link/?req=doc&amp;base=RLAW049&amp;n=167594&amp;dst=100067" TargetMode = "External"/>
	<Relationship Id="rId278" Type="http://schemas.openxmlformats.org/officeDocument/2006/relationships/hyperlink" Target="https://login.consultant.ru/link/?req=doc&amp;base=RLAW049&amp;n=167594&amp;dst=100069" TargetMode = "External"/>
	<Relationship Id="rId279" Type="http://schemas.openxmlformats.org/officeDocument/2006/relationships/hyperlink" Target="https://login.consultant.ru/link/?req=doc&amp;base=RLAW049&amp;n=167594&amp;dst=100071" TargetMode = "External"/>
	<Relationship Id="rId280" Type="http://schemas.openxmlformats.org/officeDocument/2006/relationships/hyperlink" Target="https://login.consultant.ru/link/?req=doc&amp;base=RLAW049&amp;n=167594&amp;dst=100073" TargetMode = "External"/>
	<Relationship Id="rId281" Type="http://schemas.openxmlformats.org/officeDocument/2006/relationships/hyperlink" Target="https://login.consultant.ru/link/?req=doc&amp;base=RLAW049&amp;n=155999&amp;dst=100012" TargetMode = "External"/>
	<Relationship Id="rId282" Type="http://schemas.openxmlformats.org/officeDocument/2006/relationships/hyperlink" Target="https://login.consultant.ru/link/?req=doc&amp;base=RLAW049&amp;n=156000&amp;dst=100020" TargetMode = "External"/>
	<Relationship Id="rId283" Type="http://schemas.openxmlformats.org/officeDocument/2006/relationships/hyperlink" Target="https://login.consultant.ru/link/?req=doc&amp;base=RLAW049&amp;n=156000&amp;dst=100148" TargetMode = "External"/>
	<Relationship Id="rId284" Type="http://schemas.openxmlformats.org/officeDocument/2006/relationships/hyperlink" Target="https://login.consultant.ru/link/?req=doc&amp;base=RLAW049&amp;n=133925&amp;dst=100079" TargetMode = "External"/>
	<Relationship Id="rId285" Type="http://schemas.openxmlformats.org/officeDocument/2006/relationships/hyperlink" Target="https://login.consultant.ru/link/?req=doc&amp;base=RLAW049&amp;n=167594&amp;dst=100077" TargetMode = "External"/>
	<Relationship Id="rId286" Type="http://schemas.openxmlformats.org/officeDocument/2006/relationships/hyperlink" Target="https://login.consultant.ru/link/?req=doc&amp;base=RLAW049&amp;n=133925&amp;dst=100081" TargetMode = "External"/>
	<Relationship Id="rId287" Type="http://schemas.openxmlformats.org/officeDocument/2006/relationships/hyperlink" Target="https://login.consultant.ru/link/?req=doc&amp;base=RLAW049&amp;n=167594&amp;dst=100078" TargetMode = "External"/>
	<Relationship Id="rId288" Type="http://schemas.openxmlformats.org/officeDocument/2006/relationships/hyperlink" Target="https://login.consultant.ru/link/?req=doc&amp;base=RLAW049&amp;n=167594&amp;dst=100080" TargetMode = "External"/>
	<Relationship Id="rId289" Type="http://schemas.openxmlformats.org/officeDocument/2006/relationships/hyperlink" Target="https://login.consultant.ru/link/?req=doc&amp;base=LAW&amp;n=454208" TargetMode = "External"/>
	<Relationship Id="rId290" Type="http://schemas.openxmlformats.org/officeDocument/2006/relationships/hyperlink" Target="https://login.consultant.ru/link/?req=doc&amp;base=RLAW049&amp;n=124062&amp;dst=100036" TargetMode = "External"/>
	<Relationship Id="rId291" Type="http://schemas.openxmlformats.org/officeDocument/2006/relationships/hyperlink" Target="https://login.consultant.ru/link/?req=doc&amp;base=RLAW049&amp;n=133925&amp;dst=100083" TargetMode = "External"/>
	<Relationship Id="rId292" Type="http://schemas.openxmlformats.org/officeDocument/2006/relationships/hyperlink" Target="https://login.consultant.ru/link/?req=doc&amp;base=RLAW049&amp;n=167594&amp;dst=100082" TargetMode = "External"/>
	<Relationship Id="rId293" Type="http://schemas.openxmlformats.org/officeDocument/2006/relationships/hyperlink" Target="https://login.consultant.ru/link/?req=doc&amp;base=RLAW049&amp;n=167594&amp;dst=100085" TargetMode = "External"/>
	<Relationship Id="rId294" Type="http://schemas.openxmlformats.org/officeDocument/2006/relationships/hyperlink" Target="https://login.consultant.ru/link/?req=doc&amp;base=RLAW049&amp;n=167594&amp;dst=100086" TargetMode = "External"/>
	<Relationship Id="rId295" Type="http://schemas.openxmlformats.org/officeDocument/2006/relationships/hyperlink" Target="https://login.consultant.ru/link/?req=doc&amp;base=RLAW049&amp;n=167594&amp;dst=100088" TargetMode = "External"/>
	<Relationship Id="rId296" Type="http://schemas.openxmlformats.org/officeDocument/2006/relationships/hyperlink" Target="https://login.consultant.ru/link/?req=doc&amp;base=RLAW049&amp;n=167594&amp;dst=100090" TargetMode = "External"/>
	<Relationship Id="rId297" Type="http://schemas.openxmlformats.org/officeDocument/2006/relationships/hyperlink" Target="https://login.consultant.ru/link/?req=doc&amp;base=RLAW049&amp;n=133925&amp;dst=100085" TargetMode = "External"/>
	<Relationship Id="rId298" Type="http://schemas.openxmlformats.org/officeDocument/2006/relationships/hyperlink" Target="https://login.consultant.ru/link/?req=doc&amp;base=RLAW049&amp;n=167594&amp;dst=100091" TargetMode = "External"/>
	<Relationship Id="rId299" Type="http://schemas.openxmlformats.org/officeDocument/2006/relationships/hyperlink" Target="https://login.consultant.ru/link/?req=doc&amp;base=RLAW049&amp;n=167594&amp;dst=100093" TargetMode = "External"/>
	<Relationship Id="rId300" Type="http://schemas.openxmlformats.org/officeDocument/2006/relationships/hyperlink" Target="https://login.consultant.ru/link/?req=doc&amp;base=RLAW049&amp;n=167594&amp;dst=100095" TargetMode = "External"/>
	<Relationship Id="rId301" Type="http://schemas.openxmlformats.org/officeDocument/2006/relationships/hyperlink" Target="https://login.consultant.ru/link/?req=doc&amp;base=RLAW049&amp;n=167594&amp;dst=100097" TargetMode = "External"/>
	<Relationship Id="rId302" Type="http://schemas.openxmlformats.org/officeDocument/2006/relationships/hyperlink" Target="https://login.consultant.ru/link/?req=doc&amp;base=RLAW049&amp;n=167594&amp;dst=100099" TargetMode = "External"/>
	<Relationship Id="rId303" Type="http://schemas.openxmlformats.org/officeDocument/2006/relationships/hyperlink" Target="https://login.consultant.ru/link/?req=doc&amp;base=RLAW049&amp;n=167594&amp;dst=100101" TargetMode = "External"/>
	<Relationship Id="rId304" Type="http://schemas.openxmlformats.org/officeDocument/2006/relationships/hyperlink" Target="https://login.consultant.ru/link/?req=doc&amp;base=RLAW049&amp;n=167594&amp;dst=100103" TargetMode = "External"/>
	<Relationship Id="rId305" Type="http://schemas.openxmlformats.org/officeDocument/2006/relationships/hyperlink" Target="https://login.consultant.ru/link/?req=doc&amp;base=RLAW049&amp;n=156000&amp;dst=100020" TargetMode = "External"/>
	<Relationship Id="rId306" Type="http://schemas.openxmlformats.org/officeDocument/2006/relationships/hyperlink" Target="https://login.consultant.ru/link/?req=doc&amp;base=RLAW049&amp;n=155998&amp;dst=100028" TargetMode = "External"/>
	<Relationship Id="rId307" Type="http://schemas.openxmlformats.org/officeDocument/2006/relationships/hyperlink" Target="https://login.consultant.ru/link/?req=doc&amp;base=RLAW049&amp;n=155998&amp;dst=100069" TargetMode = "External"/>
	<Relationship Id="rId308" Type="http://schemas.openxmlformats.org/officeDocument/2006/relationships/hyperlink" Target="https://login.consultant.ru/link/?req=doc&amp;base=RLAW049&amp;n=155998&amp;dst=100028" TargetMode = "External"/>
	<Relationship Id="rId309" Type="http://schemas.openxmlformats.org/officeDocument/2006/relationships/hyperlink" Target="https://login.consultant.ru/link/?req=doc&amp;base=RLAW049&amp;n=156000&amp;dst=100067" TargetMode = "External"/>
	<Relationship Id="rId310" Type="http://schemas.openxmlformats.org/officeDocument/2006/relationships/hyperlink" Target="https://login.consultant.ru/link/?req=doc&amp;base=RLAW049&amp;n=156000&amp;dst=100148" TargetMode = "External"/>
	<Relationship Id="rId311" Type="http://schemas.openxmlformats.org/officeDocument/2006/relationships/hyperlink" Target="https://login.consultant.ru/link/?req=doc&amp;base=RLAW049&amp;n=156000&amp;dst=100067" TargetMode = "External"/>
	<Relationship Id="rId312" Type="http://schemas.openxmlformats.org/officeDocument/2006/relationships/hyperlink" Target="https://login.consultant.ru/link/?req=doc&amp;base=LAW&amp;n=475331&amp;dst=18924" TargetMode = "External"/>
	<Relationship Id="rId313" Type="http://schemas.openxmlformats.org/officeDocument/2006/relationships/hyperlink" Target="https://login.consultant.ru/link/?req=doc&amp;base=LAW&amp;n=468900" TargetMode = "External"/>
	<Relationship Id="rId314" Type="http://schemas.openxmlformats.org/officeDocument/2006/relationships/hyperlink" Target="https://login.consultant.ru/link/?req=doc&amp;base=RLAW049&amp;n=155927&amp;dst=100009" TargetMode = "External"/>
	<Relationship Id="rId315" Type="http://schemas.openxmlformats.org/officeDocument/2006/relationships/hyperlink" Target="https://login.consultant.ru/link/?req=doc&amp;base=RLAW049&amp;n=155927&amp;dst=100010" TargetMode = "External"/>
	<Relationship Id="rId316" Type="http://schemas.openxmlformats.org/officeDocument/2006/relationships/hyperlink" Target="https://login.consultant.ru/link/?req=doc&amp;base=RLAW049&amp;n=152836&amp;dst=100009" TargetMode = "External"/>
	<Relationship Id="rId317" Type="http://schemas.openxmlformats.org/officeDocument/2006/relationships/hyperlink" Target="https://login.consultant.ru/link/?req=doc&amp;base=RLAW049&amp;n=152836&amp;dst=100020" TargetMode = "External"/>
	<Relationship Id="rId318" Type="http://schemas.openxmlformats.org/officeDocument/2006/relationships/hyperlink" Target="https://login.consultant.ru/link/?req=doc&amp;base=RLAW049&amp;n=152836&amp;dst=100009" TargetMode = "External"/>
	<Relationship Id="rId319" Type="http://schemas.openxmlformats.org/officeDocument/2006/relationships/hyperlink" Target="https://login.consultant.ru/link/?req=doc&amp;base=LAW&amp;n=475331&amp;dst=22390" TargetMode = "External"/>
	<Relationship Id="rId320" Type="http://schemas.openxmlformats.org/officeDocument/2006/relationships/hyperlink" Target="https://login.consultant.ru/link/?req=doc&amp;base=RLAW049&amp;n=16392&amp;dst=100024" TargetMode = "External"/>
	<Relationship Id="rId321" Type="http://schemas.openxmlformats.org/officeDocument/2006/relationships/hyperlink" Target="https://login.consultant.ru/link/?req=doc&amp;base=RLAW049&amp;n=61616&amp;dst=100014" TargetMode = "External"/>
	<Relationship Id="rId322" Type="http://schemas.openxmlformats.org/officeDocument/2006/relationships/hyperlink" Target="https://login.consultant.ru/link/?req=doc&amp;base=RLAW049&amp;n=163153&amp;dst=100025" TargetMode = "External"/>
	<Relationship Id="rId323" Type="http://schemas.openxmlformats.org/officeDocument/2006/relationships/hyperlink" Target="https://login.consultant.ru/link/?req=doc&amp;base=RLAW049&amp;n=61616&amp;dst=100015" TargetMode = "External"/>
	<Relationship Id="rId324" Type="http://schemas.openxmlformats.org/officeDocument/2006/relationships/hyperlink" Target="https://login.consultant.ru/link/?req=doc&amp;base=RLAW049&amp;n=163153&amp;dst=100026" TargetMode = "External"/>
	<Relationship Id="rId325" Type="http://schemas.openxmlformats.org/officeDocument/2006/relationships/hyperlink" Target="https://login.consultant.ru/link/?req=doc&amp;base=RLAW049&amp;n=16392&amp;dst=100026" TargetMode = "External"/>
	<Relationship Id="rId326" Type="http://schemas.openxmlformats.org/officeDocument/2006/relationships/hyperlink" Target="https://login.consultant.ru/link/?req=doc&amp;base=RLAW049&amp;n=25112&amp;dst=100009" TargetMode = "External"/>
	<Relationship Id="rId327" Type="http://schemas.openxmlformats.org/officeDocument/2006/relationships/hyperlink" Target="https://login.consultant.ru/link/?req=doc&amp;base=RLAW049&amp;n=54874&amp;dst=100026" TargetMode = "External"/>
	<Relationship Id="rId328" Type="http://schemas.openxmlformats.org/officeDocument/2006/relationships/hyperlink" Target="https://login.consultant.ru/link/?req=doc&amp;base=RLAW049&amp;n=61616&amp;dst=100016" TargetMode = "External"/>
	<Relationship Id="rId329" Type="http://schemas.openxmlformats.org/officeDocument/2006/relationships/hyperlink" Target="https://login.consultant.ru/link/?req=doc&amp;base=RLAW049&amp;n=94746&amp;dst=100009" TargetMode = "External"/>
	<Relationship Id="rId330" Type="http://schemas.openxmlformats.org/officeDocument/2006/relationships/hyperlink" Target="https://login.consultant.ru/link/?req=doc&amp;base=RLAW049&amp;n=122722&amp;dst=100009" TargetMode = "External"/>
	<Relationship Id="rId331" Type="http://schemas.openxmlformats.org/officeDocument/2006/relationships/hyperlink" Target="https://login.consultant.ru/link/?req=doc&amp;base=RLAW049&amp;n=163153&amp;dst=100027" TargetMode = "External"/>
	<Relationship Id="rId332" Type="http://schemas.openxmlformats.org/officeDocument/2006/relationships/hyperlink" Target="https://login.consultant.ru/link/?req=doc&amp;base=RLAW049&amp;n=42246&amp;dst=100012" TargetMode = "External"/>
	<Relationship Id="rId333" Type="http://schemas.openxmlformats.org/officeDocument/2006/relationships/hyperlink" Target="https://login.consultant.ru/link/?req=doc&amp;base=RLAW049&amp;n=42246&amp;dst=100013" TargetMode = "External"/>
	<Relationship Id="rId334" Type="http://schemas.openxmlformats.org/officeDocument/2006/relationships/hyperlink" Target="https://login.consultant.ru/link/?req=doc&amp;base=LAW&amp;n=475331&amp;dst=12961" TargetMode = "External"/>
	<Relationship Id="rId335" Type="http://schemas.openxmlformats.org/officeDocument/2006/relationships/hyperlink" Target="https://login.consultant.ru/link/?req=doc&amp;base=RLAW049&amp;n=113649&amp;dst=100009" TargetMode = "External"/>
	<Relationship Id="rId336" Type="http://schemas.openxmlformats.org/officeDocument/2006/relationships/hyperlink" Target="https://login.consultant.ru/link/?req=doc&amp;base=RLAW049&amp;n=157808&amp;dst=100009" TargetMode = "External"/>
	<Relationship Id="rId337" Type="http://schemas.openxmlformats.org/officeDocument/2006/relationships/hyperlink" Target="https://login.consultant.ru/link/?req=doc&amp;base=RLAW049&amp;n=94746&amp;dst=100011" TargetMode = "External"/>
	<Relationship Id="rId338" Type="http://schemas.openxmlformats.org/officeDocument/2006/relationships/hyperlink" Target="https://login.consultant.ru/link/?req=doc&amp;base=RLAW049&amp;n=42246&amp;dst=100014" TargetMode = "External"/>
	<Relationship Id="rId339" Type="http://schemas.openxmlformats.org/officeDocument/2006/relationships/hyperlink" Target="https://login.consultant.ru/link/?req=doc&amp;base=RLAW049&amp;n=54874&amp;dst=100029" TargetMode = "External"/>
	<Relationship Id="rId340" Type="http://schemas.openxmlformats.org/officeDocument/2006/relationships/hyperlink" Target="https://login.consultant.ru/link/?req=doc&amp;base=RLAW049&amp;n=61616&amp;dst=100018" TargetMode = "External"/>
	<Relationship Id="rId341" Type="http://schemas.openxmlformats.org/officeDocument/2006/relationships/hyperlink" Target="https://login.consultant.ru/link/?req=doc&amp;base=RLAW049&amp;n=61616&amp;dst=100019" TargetMode = "External"/>
	<Relationship Id="rId342" Type="http://schemas.openxmlformats.org/officeDocument/2006/relationships/hyperlink" Target="https://login.consultant.ru/link/?req=doc&amp;base=RLAW049&amp;n=94746&amp;dst=100013" TargetMode = "External"/>
	<Relationship Id="rId343" Type="http://schemas.openxmlformats.org/officeDocument/2006/relationships/hyperlink" Target="https://login.consultant.ru/link/?req=doc&amp;base=RLAW049&amp;n=133918&amp;dst=100009" TargetMode = "External"/>
	<Relationship Id="rId344" Type="http://schemas.openxmlformats.org/officeDocument/2006/relationships/hyperlink" Target="https://login.consultant.ru/link/?req=doc&amp;base=LAW&amp;n=472841&amp;dst=4803" TargetMode = "External"/>
	<Relationship Id="rId345" Type="http://schemas.openxmlformats.org/officeDocument/2006/relationships/hyperlink" Target="https://login.consultant.ru/link/?req=doc&amp;base=LAW&amp;n=472841&amp;dst=4803" TargetMode = "External"/>
	<Relationship Id="rId346" Type="http://schemas.openxmlformats.org/officeDocument/2006/relationships/hyperlink" Target="https://login.consultant.ru/link/?req=doc&amp;base=LAW&amp;n=475331&amp;dst=17697" TargetMode = "External"/>
	<Relationship Id="rId347" Type="http://schemas.openxmlformats.org/officeDocument/2006/relationships/hyperlink" Target="https://login.consultant.ru/link/?req=doc&amp;base=RLAW049&amp;n=122722&amp;dst=100012" TargetMode = "External"/>
	<Relationship Id="rId348" Type="http://schemas.openxmlformats.org/officeDocument/2006/relationships/hyperlink" Target="https://login.consultant.ru/link/?req=doc&amp;base=RLAW049&amp;n=122722&amp;dst=100021" TargetMode = "External"/>
	<Relationship Id="rId349" Type="http://schemas.openxmlformats.org/officeDocument/2006/relationships/hyperlink" Target="https://login.consultant.ru/link/?req=doc&amp;base=RLAW049&amp;n=122722&amp;dst=100012" TargetMode = "External"/>
	<Relationship Id="rId350" Type="http://schemas.openxmlformats.org/officeDocument/2006/relationships/hyperlink" Target="https://login.consultant.ru/link/?req=doc&amp;base=LAW&amp;n=468900" TargetMode = "External"/>
	<Relationship Id="rId351" Type="http://schemas.openxmlformats.org/officeDocument/2006/relationships/hyperlink" Target="https://login.consultant.ru/link/?req=doc&amp;base=LAW&amp;n=475331&amp;dst=15109" TargetMode = "External"/>
	<Relationship Id="rId352" Type="http://schemas.openxmlformats.org/officeDocument/2006/relationships/hyperlink" Target="https://login.consultant.ru/link/?req=doc&amp;base=LAW&amp;n=475331&amp;dst=17736" TargetMode = "External"/>
	<Relationship Id="rId353" Type="http://schemas.openxmlformats.org/officeDocument/2006/relationships/hyperlink" Target="https://login.consultant.ru/link/?req=doc&amp;base=RLAW049&amp;n=124062&amp;dst=100039" TargetMode = "External"/>
	<Relationship Id="rId354" Type="http://schemas.openxmlformats.org/officeDocument/2006/relationships/hyperlink" Target="https://login.consultant.ru/link/?req=doc&amp;base=RLAW049&amp;n=144225&amp;dst=100008" TargetMode = "External"/>
	<Relationship Id="rId355" Type="http://schemas.openxmlformats.org/officeDocument/2006/relationships/hyperlink" Target="https://login.consultant.ru/link/?req=doc&amp;base=RLAW049&amp;n=152836&amp;dst=100013" TargetMode = "External"/>
	<Relationship Id="rId356" Type="http://schemas.openxmlformats.org/officeDocument/2006/relationships/hyperlink" Target="https://login.consultant.ru/link/?req=doc&amp;base=RLAW049&amp;n=124062&amp;dst=100040" TargetMode = "External"/>
	<Relationship Id="rId357" Type="http://schemas.openxmlformats.org/officeDocument/2006/relationships/hyperlink" Target="https://login.consultant.ru/link/?req=doc&amp;base=LAW&amp;n=475331&amp;dst=4270" TargetMode = "External"/>
	<Relationship Id="rId358" Type="http://schemas.openxmlformats.org/officeDocument/2006/relationships/hyperlink" Target="https://login.consultant.ru/link/?req=doc&amp;base=LAW&amp;n=475331&amp;dst=17021" TargetMode = "External"/>
	<Relationship Id="rId359" Type="http://schemas.openxmlformats.org/officeDocument/2006/relationships/hyperlink" Target="https://login.consultant.ru/link/?req=doc&amp;base=RLAW049&amp;n=124062&amp;dst=100041" TargetMode = "External"/>
	<Relationship Id="rId360" Type="http://schemas.openxmlformats.org/officeDocument/2006/relationships/hyperlink" Target="https://login.consultant.ru/link/?req=doc&amp;base=RLAW049&amp;n=133918&amp;dst=100013" TargetMode = "External"/>
	<Relationship Id="rId361" Type="http://schemas.openxmlformats.org/officeDocument/2006/relationships/hyperlink" Target="https://login.consultant.ru/link/?req=doc&amp;base=LAW&amp;n=475331&amp;dst=17740" TargetMode = "External"/>
	<Relationship Id="rId362" Type="http://schemas.openxmlformats.org/officeDocument/2006/relationships/hyperlink" Target="https://login.consultant.ru/link/?req=doc&amp;base=RLAW049&amp;n=42246&amp;dst=100015" TargetMode = "External"/>
	<Relationship Id="rId363" Type="http://schemas.openxmlformats.org/officeDocument/2006/relationships/hyperlink" Target="https://login.consultant.ru/link/?req=doc&amp;base=RLAW049&amp;n=163153&amp;dst=100029" TargetMode = "External"/>
	<Relationship Id="rId364" Type="http://schemas.openxmlformats.org/officeDocument/2006/relationships/hyperlink" Target="https://login.consultant.ru/link/?req=doc&amp;base=LAW&amp;n=472841&amp;dst=100581" TargetMode = "External"/>
	<Relationship Id="rId365" Type="http://schemas.openxmlformats.org/officeDocument/2006/relationships/hyperlink" Target="https://login.consultant.ru/link/?req=doc&amp;base=RLAW049&amp;n=61616&amp;dst=100022" TargetMode = "External"/>
	<Relationship Id="rId366" Type="http://schemas.openxmlformats.org/officeDocument/2006/relationships/hyperlink" Target="https://login.consultant.ru/link/?req=doc&amp;base=RLAW049&amp;n=163153&amp;dst=100031" TargetMode = "External"/>
	<Relationship Id="rId367" Type="http://schemas.openxmlformats.org/officeDocument/2006/relationships/hyperlink" Target="https://login.consultant.ru/link/?req=doc&amp;base=RLAW049&amp;n=42246&amp;dst=100017" TargetMode = "External"/>
	<Relationship Id="rId368" Type="http://schemas.openxmlformats.org/officeDocument/2006/relationships/hyperlink" Target="https://login.consultant.ru/link/?req=doc&amp;base=RLAW049&amp;n=54874&amp;dst=100031" TargetMode = "External"/>
	<Relationship Id="rId369" Type="http://schemas.openxmlformats.org/officeDocument/2006/relationships/hyperlink" Target="https://login.consultant.ru/link/?req=doc&amp;base=RLAW049&amp;n=61616&amp;dst=100023" TargetMode = "External"/>
	<Relationship Id="rId370" Type="http://schemas.openxmlformats.org/officeDocument/2006/relationships/hyperlink" Target="https://login.consultant.ru/link/?req=doc&amp;base=RLAW049&amp;n=163153&amp;dst=100032" TargetMode = "External"/>
	<Relationship Id="rId371" Type="http://schemas.openxmlformats.org/officeDocument/2006/relationships/hyperlink" Target="https://login.consultant.ru/link/?req=doc&amp;base=RLAW049&amp;n=61616&amp;dst=100024" TargetMode = "External"/>
	<Relationship Id="rId372" Type="http://schemas.openxmlformats.org/officeDocument/2006/relationships/hyperlink" Target="https://login.consultant.ru/link/?req=doc&amp;base=RLAW049&amp;n=133918&amp;dst=100014" TargetMode = "External"/>
	<Relationship Id="rId373" Type="http://schemas.openxmlformats.org/officeDocument/2006/relationships/hyperlink" Target="https://login.consultant.ru/link/?req=doc&amp;base=RLAW049&amp;n=42246&amp;dst=100019" TargetMode = "External"/>
	<Relationship Id="rId374" Type="http://schemas.openxmlformats.org/officeDocument/2006/relationships/hyperlink" Target="https://login.consultant.ru/link/?req=doc&amp;base=RLAW049&amp;n=61616&amp;dst=100026" TargetMode = "External"/>
	<Relationship Id="rId375" Type="http://schemas.openxmlformats.org/officeDocument/2006/relationships/hyperlink" Target="https://login.consultant.ru/link/?req=doc&amp;base=RLAW049&amp;n=163153&amp;dst=100035" TargetMode = "External"/>
	<Relationship Id="rId376" Type="http://schemas.openxmlformats.org/officeDocument/2006/relationships/hyperlink" Target="https://login.consultant.ru/link/?req=doc&amp;base=RLAW049&amp;n=133925&amp;dst=100087" TargetMode = "External"/>
	<Relationship Id="rId377" Type="http://schemas.openxmlformats.org/officeDocument/2006/relationships/hyperlink" Target="https://login.consultant.ru/link/?req=doc&amp;base=RLAW049&amp;n=113649&amp;dst=100013" TargetMode = "External"/>
	<Relationship Id="rId378" Type="http://schemas.openxmlformats.org/officeDocument/2006/relationships/hyperlink" Target="https://login.consultant.ru/link/?req=doc&amp;base=RLAW049&amp;n=113649&amp;dst=100035" TargetMode = "External"/>
	<Relationship Id="rId379" Type="http://schemas.openxmlformats.org/officeDocument/2006/relationships/hyperlink" Target="https://login.consultant.ru/link/?req=doc&amp;base=RLAW049&amp;n=113649&amp;dst=100013" TargetMode = "External"/>
	<Relationship Id="rId380" Type="http://schemas.openxmlformats.org/officeDocument/2006/relationships/hyperlink" Target="https://login.consultant.ru/link/?req=doc&amp;base=LAW&amp;n=475331&amp;dst=12971" TargetMode = "External"/>
	<Relationship Id="rId381" Type="http://schemas.openxmlformats.org/officeDocument/2006/relationships/hyperlink" Target="https://login.consultant.ru/link/?req=doc&amp;base=LAW&amp;n=475331&amp;dst=12972" TargetMode = "External"/>
	<Relationship Id="rId382" Type="http://schemas.openxmlformats.org/officeDocument/2006/relationships/hyperlink" Target="https://login.consultant.ru/link/?req=doc&amp;base=LAW&amp;n=475331&amp;dst=12962" TargetMode = "External"/>
	<Relationship Id="rId383" Type="http://schemas.openxmlformats.org/officeDocument/2006/relationships/hyperlink" Target="https://login.consultant.ru/link/?req=doc&amp;base=LAW&amp;n=475331&amp;dst=12979" TargetMode = "External"/>
	<Relationship Id="rId384" Type="http://schemas.openxmlformats.org/officeDocument/2006/relationships/hyperlink" Target="https://login.consultant.ru/link/?req=doc&amp;base=LAW&amp;n=475331&amp;dst=17698" TargetMode = "External"/>
	<Relationship Id="rId385" Type="http://schemas.openxmlformats.org/officeDocument/2006/relationships/hyperlink" Target="https://login.consultant.ru/link/?req=doc&amp;base=RLAW049&amp;n=144229&amp;dst=100014" TargetMode = "External"/>
	<Relationship Id="rId386" Type="http://schemas.openxmlformats.org/officeDocument/2006/relationships/hyperlink" Target="https://login.consultant.ru/link/?req=doc&amp;base=LAW&amp;n=472841&amp;dst=3702" TargetMode = "External"/>
	<Relationship Id="rId387" Type="http://schemas.openxmlformats.org/officeDocument/2006/relationships/hyperlink" Target="https://login.consultant.ru/link/?req=doc&amp;base=LAW&amp;n=472841&amp;dst=3688" TargetMode = "External"/>
	<Relationship Id="rId388" Type="http://schemas.openxmlformats.org/officeDocument/2006/relationships/hyperlink" Target="https://login.consultant.ru/link/?req=doc&amp;base=LAW&amp;n=472841&amp;dst=2762" TargetMode = "External"/>
	<Relationship Id="rId389" Type="http://schemas.openxmlformats.org/officeDocument/2006/relationships/hyperlink" Target="https://login.consultant.ru/link/?req=doc&amp;base=LAW&amp;n=472841&amp;dst=2767" TargetMode = "External"/>
	<Relationship Id="rId390" Type="http://schemas.openxmlformats.org/officeDocument/2006/relationships/hyperlink" Target="https://login.consultant.ru/link/?req=doc&amp;base=LAW&amp;n=472841&amp;dst=2770" TargetMode = "External"/>
	<Relationship Id="rId391" Type="http://schemas.openxmlformats.org/officeDocument/2006/relationships/hyperlink" Target="https://login.consultant.ru/link/?req=doc&amp;base=LAW&amp;n=472841&amp;dst=2799" TargetMode = "External"/>
	<Relationship Id="rId392" Type="http://schemas.openxmlformats.org/officeDocument/2006/relationships/hyperlink" Target="https://login.consultant.ru/link/?req=doc&amp;base=LAW&amp;n=472841&amp;dst=2811" TargetMode = "External"/>
	<Relationship Id="rId393" Type="http://schemas.openxmlformats.org/officeDocument/2006/relationships/hyperlink" Target="https://login.consultant.ru/link/?req=doc&amp;base=RLAW049&amp;n=133925&amp;dst=100088" TargetMode = "External"/>
	<Relationship Id="rId394" Type="http://schemas.openxmlformats.org/officeDocument/2006/relationships/hyperlink" Target="https://login.consultant.ru/link/?req=doc&amp;base=RLAW049&amp;n=94746&amp;dst=100014" TargetMode = "External"/>
	<Relationship Id="rId395" Type="http://schemas.openxmlformats.org/officeDocument/2006/relationships/hyperlink" Target="https://login.consultant.ru/link/?req=doc&amp;base=RLAW049&amp;n=94746&amp;dst=100015" TargetMode = "External"/>
	<Relationship Id="rId396" Type="http://schemas.openxmlformats.org/officeDocument/2006/relationships/hyperlink" Target="https://login.consultant.ru/link/?req=doc&amp;base=LAW&amp;n=468900" TargetMode = "External"/>
	<Relationship Id="rId397" Type="http://schemas.openxmlformats.org/officeDocument/2006/relationships/hyperlink" Target="https://login.consultant.ru/link/?req=doc&amp;base=RLAW049&amp;n=104724&amp;dst=100009" TargetMode = "External"/>
	<Relationship Id="rId398" Type="http://schemas.openxmlformats.org/officeDocument/2006/relationships/hyperlink" Target="https://login.consultant.ru/link/?req=doc&amp;base=LAW&amp;n=475331&amp;dst=18298" TargetMode = "External"/>
	<Relationship Id="rId399" Type="http://schemas.openxmlformats.org/officeDocument/2006/relationships/hyperlink" Target="https://login.consultant.ru/link/?req=doc&amp;base=RLAW049&amp;n=100976&amp;dst=100018" TargetMode = "External"/>
	<Relationship Id="rId400" Type="http://schemas.openxmlformats.org/officeDocument/2006/relationships/hyperlink" Target="https://login.consultant.ru/link/?req=doc&amp;base=RLAW049&amp;n=104724&amp;dst=100011" TargetMode = "External"/>
	<Relationship Id="rId401" Type="http://schemas.openxmlformats.org/officeDocument/2006/relationships/hyperlink" Target="https://login.consultant.ru/link/?req=doc&amp;base=RLAW049&amp;n=113649&amp;dst=100025" TargetMode = "External"/>
	<Relationship Id="rId402" Type="http://schemas.openxmlformats.org/officeDocument/2006/relationships/hyperlink" Target="https://login.consultant.ru/link/?req=doc&amp;base=RLAW049&amp;n=157808&amp;dst=100010" TargetMode = "External"/>
	<Relationship Id="rId403" Type="http://schemas.openxmlformats.org/officeDocument/2006/relationships/hyperlink" Target="https://login.consultant.ru/link/?req=doc&amp;base=RLAW049&amp;n=166065&amp;dst=100009" TargetMode = "External"/>
	<Relationship Id="rId404" Type="http://schemas.openxmlformats.org/officeDocument/2006/relationships/hyperlink" Target="https://login.consultant.ru/link/?req=doc&amp;base=RLAW049&amp;n=155924&amp;dst=100009" TargetMode = "External"/>
	<Relationship Id="rId405" Type="http://schemas.openxmlformats.org/officeDocument/2006/relationships/hyperlink" Target="https://login.consultant.ru/link/?req=doc&amp;base=RLAW049&amp;n=166065&amp;dst=100012" TargetMode = "External"/>
	<Relationship Id="rId406" Type="http://schemas.openxmlformats.org/officeDocument/2006/relationships/hyperlink" Target="https://login.consultant.ru/link/?req=doc&amp;base=RLAW049&amp;n=166065&amp;dst=100014" TargetMode = "External"/>
	<Relationship Id="rId407" Type="http://schemas.openxmlformats.org/officeDocument/2006/relationships/hyperlink" Target="https://login.consultant.ru/link/?req=doc&amp;base=RLAW049&amp;n=166065&amp;dst=100016" TargetMode = "External"/>
	<Relationship Id="rId408" Type="http://schemas.openxmlformats.org/officeDocument/2006/relationships/hyperlink" Target="https://login.consultant.ru/link/?req=doc&amp;base=RLAW049&amp;n=166065&amp;dst=100017" TargetMode = "External"/>
	<Relationship Id="rId409" Type="http://schemas.openxmlformats.org/officeDocument/2006/relationships/hyperlink" Target="https://login.consultant.ru/link/?req=doc&amp;base=RLAW049&amp;n=104724&amp;dst=100015" TargetMode = "External"/>
	<Relationship Id="rId410" Type="http://schemas.openxmlformats.org/officeDocument/2006/relationships/hyperlink" Target="https://login.consultant.ru/link/?req=doc&amp;base=RLAW049&amp;n=104724&amp;dst=100017" TargetMode = "External"/>
	<Relationship Id="rId411" Type="http://schemas.openxmlformats.org/officeDocument/2006/relationships/hyperlink" Target="https://login.consultant.ru/link/?req=doc&amp;base=RLAW049&amp;n=166065&amp;dst=100019" TargetMode = "External"/>
	<Relationship Id="rId412" Type="http://schemas.openxmlformats.org/officeDocument/2006/relationships/hyperlink" Target="https://login.consultant.ru/link/?req=doc&amp;base=RLAW049&amp;n=104724&amp;dst=100019" TargetMode = "External"/>
	<Relationship Id="rId413" Type="http://schemas.openxmlformats.org/officeDocument/2006/relationships/hyperlink" Target="https://login.consultant.ru/link/?req=doc&amp;base=RLAW049&amp;n=100976&amp;dst=100018" TargetMode = "External"/>
	<Relationship Id="rId414" Type="http://schemas.openxmlformats.org/officeDocument/2006/relationships/hyperlink" Target="https://login.consultant.ru/link/?req=doc&amp;base=RLAW049&amp;n=104724&amp;dst=100020" TargetMode = "External"/>
	<Relationship Id="rId415" Type="http://schemas.openxmlformats.org/officeDocument/2006/relationships/hyperlink" Target="https://login.consultant.ru/link/?req=doc&amp;base=RLAW049&amp;n=166065&amp;dst=100020" TargetMode = "External"/>
	<Relationship Id="rId416" Type="http://schemas.openxmlformats.org/officeDocument/2006/relationships/hyperlink" Target="https://login.consultant.ru/link/?req=doc&amp;base=RLAW049&amp;n=133925&amp;dst=100089" TargetMode = "External"/>
	<Relationship Id="rId417" Type="http://schemas.openxmlformats.org/officeDocument/2006/relationships/hyperlink" Target="https://login.consultant.ru/link/?req=doc&amp;base=RLAW049&amp;n=61616&amp;dst=100053" TargetMode = "External"/>
	<Relationship Id="rId418" Type="http://schemas.openxmlformats.org/officeDocument/2006/relationships/hyperlink" Target="https://login.consultant.ru/link/?req=doc&amp;base=RLAW049&amp;n=163153&amp;dst=100036" TargetMode = "External"/>
	<Relationship Id="rId419" Type="http://schemas.openxmlformats.org/officeDocument/2006/relationships/hyperlink" Target="https://login.consultant.ru/link/?req=doc&amp;base=RLAW049&amp;n=16392&amp;dst=100090" TargetMode = "External"/>
	<Relationship Id="rId420" Type="http://schemas.openxmlformats.org/officeDocument/2006/relationships/hyperlink" Target="https://login.consultant.ru/link/?req=doc&amp;base=RLAW049&amp;n=54874&amp;dst=100050" TargetMode = "External"/>
	<Relationship Id="rId421" Type="http://schemas.openxmlformats.org/officeDocument/2006/relationships/hyperlink" Target="https://login.consultant.ru/link/?req=doc&amp;base=RLAW049&amp;n=61616&amp;dst=100055" TargetMode = "External"/>
	<Relationship Id="rId422" Type="http://schemas.openxmlformats.org/officeDocument/2006/relationships/hyperlink" Target="https://login.consultant.ru/link/?req=doc&amp;base=RLAW049&amp;n=163153&amp;dst=100037" TargetMode = "External"/>
	<Relationship Id="rId423" Type="http://schemas.openxmlformats.org/officeDocument/2006/relationships/hyperlink" Target="https://login.consultant.ru/link/?req=doc&amp;base=RLAW049&amp;n=16392&amp;dst=100092" TargetMode = "External"/>
	<Relationship Id="rId424" Type="http://schemas.openxmlformats.org/officeDocument/2006/relationships/hyperlink" Target="https://login.consultant.ru/link/?req=doc&amp;base=RLAW049&amp;n=61616&amp;dst=100056" TargetMode = "External"/>
	<Relationship Id="rId425" Type="http://schemas.openxmlformats.org/officeDocument/2006/relationships/hyperlink" Target="https://login.consultant.ru/link/?req=doc&amp;base=RLAW049&amp;n=16392&amp;dst=100092" TargetMode = "External"/>
	<Relationship Id="rId426" Type="http://schemas.openxmlformats.org/officeDocument/2006/relationships/hyperlink" Target="https://login.consultant.ru/link/?req=doc&amp;base=RLAW049&amp;n=16392&amp;dst=100093" TargetMode = "External"/>
	<Relationship Id="rId427" Type="http://schemas.openxmlformats.org/officeDocument/2006/relationships/hyperlink" Target="https://login.consultant.ru/link/?req=doc&amp;base=RLAW049&amp;n=89957&amp;dst=100010" TargetMode = "External"/>
	<Relationship Id="rId428" Type="http://schemas.openxmlformats.org/officeDocument/2006/relationships/hyperlink" Target="https://login.consultant.ru/link/?req=doc&amp;base=LAW&amp;n=475331&amp;dst=18298" TargetMode = "External"/>
	<Relationship Id="rId429" Type="http://schemas.openxmlformats.org/officeDocument/2006/relationships/hyperlink" Target="https://login.consultant.ru/link/?req=doc&amp;base=RLAW049&amp;n=16392&amp;dst=100095" TargetMode = "External"/>
	<Relationship Id="rId430" Type="http://schemas.openxmlformats.org/officeDocument/2006/relationships/hyperlink" Target="https://login.consultant.ru/link/?req=doc&amp;base=RLAW049&amp;n=54874&amp;dst=100052" TargetMode = "External"/>
	<Relationship Id="rId431" Type="http://schemas.openxmlformats.org/officeDocument/2006/relationships/hyperlink" Target="https://login.consultant.ru/link/?req=doc&amp;base=RLAW049&amp;n=89957&amp;dst=100011" TargetMode = "External"/>
	<Relationship Id="rId432" Type="http://schemas.openxmlformats.org/officeDocument/2006/relationships/hyperlink" Target="https://login.consultant.ru/link/?req=doc&amp;base=RLAW049&amp;n=113649&amp;dst=100027" TargetMode = "External"/>
	<Relationship Id="rId433" Type="http://schemas.openxmlformats.org/officeDocument/2006/relationships/hyperlink" Target="https://login.consultant.ru/link/?req=doc&amp;base=RLAW049&amp;n=157808&amp;dst=100011" TargetMode = "External"/>
	<Relationship Id="rId434" Type="http://schemas.openxmlformats.org/officeDocument/2006/relationships/hyperlink" Target="https://login.consultant.ru/link/?req=doc&amp;base=RLAW049&amp;n=89957&amp;dst=100012" TargetMode = "External"/>
	<Relationship Id="rId435" Type="http://schemas.openxmlformats.org/officeDocument/2006/relationships/hyperlink" Target="https://login.consultant.ru/link/?req=doc&amp;base=RLAW049&amp;n=25379&amp;dst=100009" TargetMode = "External"/>
	<Relationship Id="rId436" Type="http://schemas.openxmlformats.org/officeDocument/2006/relationships/hyperlink" Target="https://login.consultant.ru/link/?req=doc&amp;base=RLAW049&amp;n=114502&amp;dst=100074" TargetMode = "External"/>
	<Relationship Id="rId437" Type="http://schemas.openxmlformats.org/officeDocument/2006/relationships/hyperlink" Target="https://login.consultant.ru/link/?req=doc&amp;base=RLAW049&amp;n=16392&amp;dst=100102" TargetMode = "External"/>
	<Relationship Id="rId438" Type="http://schemas.openxmlformats.org/officeDocument/2006/relationships/hyperlink" Target="https://login.consultant.ru/link/?req=doc&amp;base=RLAW049&amp;n=75881&amp;dst=100032" TargetMode = "External"/>
	<Relationship Id="rId439" Type="http://schemas.openxmlformats.org/officeDocument/2006/relationships/hyperlink" Target="https://login.consultant.ru/link/?req=doc&amp;base=RLAW049&amp;n=14836&amp;dst=100021" TargetMode = "External"/>
	<Relationship Id="rId440" Type="http://schemas.openxmlformats.org/officeDocument/2006/relationships/hyperlink" Target="https://login.consultant.ru/link/?req=doc&amp;base=RLAW049&amp;n=144231&amp;dst=100008" TargetMode = "External"/>
	<Relationship Id="rId441" Type="http://schemas.openxmlformats.org/officeDocument/2006/relationships/hyperlink" Target="https://login.consultant.ru/link/?req=doc&amp;base=RLAW049&amp;n=14836&amp;dst=100029" TargetMode = "External"/>
	<Relationship Id="rId442" Type="http://schemas.openxmlformats.org/officeDocument/2006/relationships/hyperlink" Target="https://login.consultant.ru/link/?req=doc&amp;base=RLAW049&amp;n=122896&amp;dst=100008" TargetMode = "External"/>
	<Relationship Id="rId443" Type="http://schemas.openxmlformats.org/officeDocument/2006/relationships/hyperlink" Target="https://login.consultant.ru/link/?req=doc&amp;base=RLAW049&amp;n=29142&amp;dst=100012" TargetMode = "External"/>
	<Relationship Id="rId444" Type="http://schemas.openxmlformats.org/officeDocument/2006/relationships/hyperlink" Target="https://login.consultant.ru/link/?req=doc&amp;base=RLAW049&amp;n=75881&amp;dst=100033" TargetMode = "External"/>
	<Relationship Id="rId445" Type="http://schemas.openxmlformats.org/officeDocument/2006/relationships/hyperlink" Target="https://login.consultant.ru/link/?req=doc&amp;base=RLAW049&amp;n=59473&amp;dst=100008" TargetMode = "External"/>
	<Relationship Id="rId446" Type="http://schemas.openxmlformats.org/officeDocument/2006/relationships/hyperlink" Target="https://login.consultant.ru/link/?req=doc&amp;base=RLAW049&amp;n=61616&amp;dst=100057" TargetMode = "External"/>
	<Relationship Id="rId447" Type="http://schemas.openxmlformats.org/officeDocument/2006/relationships/hyperlink" Target="https://login.consultant.ru/link/?req=doc&amp;base=RLAW049&amp;n=85947&amp;dst=100012" TargetMode = "External"/>
	<Relationship Id="rId448" Type="http://schemas.openxmlformats.org/officeDocument/2006/relationships/hyperlink" Target="https://login.consultant.ru/link/?req=doc&amp;base=RLAW049&amp;n=87726&amp;dst=100024" TargetMode = "External"/>
	<Relationship Id="rId449" Type="http://schemas.openxmlformats.org/officeDocument/2006/relationships/hyperlink" Target="https://login.consultant.ru/link/?req=doc&amp;base=RLAW049&amp;n=95256&amp;dst=100014" TargetMode = "External"/>
	<Relationship Id="rId450" Type="http://schemas.openxmlformats.org/officeDocument/2006/relationships/hyperlink" Target="https://login.consultant.ru/link/?req=doc&amp;base=RLAW049&amp;n=110593&amp;dst=100009" TargetMode = "External"/>
	<Relationship Id="rId451" Type="http://schemas.openxmlformats.org/officeDocument/2006/relationships/hyperlink" Target="https://login.consultant.ru/link/?req=doc&amp;base=RLAW049&amp;n=155924&amp;dst=100010" TargetMode = "External"/>
	<Relationship Id="rId452" Type="http://schemas.openxmlformats.org/officeDocument/2006/relationships/hyperlink" Target="https://login.consultant.ru/link/?req=doc&amp;base=RLAW049&amp;n=120298&amp;dst=100019" TargetMode = "External"/>
	<Relationship Id="rId453" Type="http://schemas.openxmlformats.org/officeDocument/2006/relationships/hyperlink" Target="https://login.consultant.ru/link/?req=doc&amp;base=RLAW049&amp;n=143384&amp;dst=100013" TargetMode = "External"/>
	<Relationship Id="rId454" Type="http://schemas.openxmlformats.org/officeDocument/2006/relationships/hyperlink" Target="https://login.consultant.ru/link/?req=doc&amp;base=RLAW049&amp;n=152836&amp;dst=100014" TargetMode = "External"/>
	<Relationship Id="rId455" Type="http://schemas.openxmlformats.org/officeDocument/2006/relationships/hyperlink" Target="https://login.consultant.ru/link/?req=doc&amp;base=RLAW049&amp;n=152836&amp;dst=100020" TargetMode = "External"/>
	<Relationship Id="rId456" Type="http://schemas.openxmlformats.org/officeDocument/2006/relationships/hyperlink" Target="https://login.consultant.ru/link/?req=doc&amp;base=LAW&amp;n=475331&amp;dst=22390" TargetMode = "External"/>
	<Relationship Id="rId457" Type="http://schemas.openxmlformats.org/officeDocument/2006/relationships/hyperlink" Target="https://login.consultant.ru/link/?req=doc&amp;base=RLAW049&amp;n=152836&amp;dst=100014" TargetMode = "External"/>
	<Relationship Id="rId458" Type="http://schemas.openxmlformats.org/officeDocument/2006/relationships/hyperlink" Target="https://login.consultant.ru/link/?req=doc&amp;base=RLAW049&amp;n=155119&amp;dst=100008" TargetMode = "External"/>
	<Relationship Id="rId459" Type="http://schemas.openxmlformats.org/officeDocument/2006/relationships/hyperlink" Target="https://login.consultant.ru/link/?req=doc&amp;base=RLAW049&amp;n=155119&amp;dst=100014" TargetMode = "External"/>
	<Relationship Id="rId460" Type="http://schemas.openxmlformats.org/officeDocument/2006/relationships/hyperlink" Target="https://login.consultant.ru/link/?req=doc&amp;base=RLAW049&amp;n=171786&amp;dst=121697" TargetMode = "External"/>
	<Relationship Id="rId461" Type="http://schemas.openxmlformats.org/officeDocument/2006/relationships/hyperlink" Target="https://login.consultant.ru/link/?req=doc&amp;base=RLAW049&amp;n=171738&amp;dst=100009" TargetMode = "External"/>
	<Relationship Id="rId462" Type="http://schemas.openxmlformats.org/officeDocument/2006/relationships/hyperlink" Target="https://login.consultant.ru/link/?req=doc&amp;base=RLAW049&amp;n=155119&amp;dst=100008" TargetMode = "External"/>
	<Relationship Id="rId463" Type="http://schemas.openxmlformats.org/officeDocument/2006/relationships/hyperlink" Target="https://login.consultant.ru/link/?req=doc&amp;base=RLAW049&amp;n=157592&amp;dst=100008" TargetMode = "External"/>
	<Relationship Id="rId464" Type="http://schemas.openxmlformats.org/officeDocument/2006/relationships/hyperlink" Target="https://login.consultant.ru/link/?req=doc&amp;base=RLAW049&amp;n=157808&amp;dst=100012" TargetMode = "External"/>
	<Relationship Id="rId465" Type="http://schemas.openxmlformats.org/officeDocument/2006/relationships/hyperlink" Target="https://login.consultant.ru/link/?req=doc&amp;base=RLAW049&amp;n=157808&amp;dst=100019" TargetMode = "External"/>
	<Relationship Id="rId466" Type="http://schemas.openxmlformats.org/officeDocument/2006/relationships/hyperlink" Target="https://login.consultant.ru/link/?req=doc&amp;base=RLAW049&amp;n=157808&amp;dst=100012" TargetMode = "External"/>
	<Relationship Id="rId467" Type="http://schemas.openxmlformats.org/officeDocument/2006/relationships/hyperlink" Target="https://login.consultant.ru/link/?req=doc&amp;base=RLAW049&amp;n=170803&amp;dst=100016" TargetMode = "External"/>
	<Relationship Id="rId468" Type="http://schemas.openxmlformats.org/officeDocument/2006/relationships/hyperlink" Target="https://login.consultant.ru/link/?req=doc&amp;base=RLAW049&amp;n=170803&amp;dst=100021" TargetMode = "External"/>
	<Relationship Id="rId469" Type="http://schemas.openxmlformats.org/officeDocument/2006/relationships/hyperlink" Target="https://login.consultant.ru/link/?req=doc&amp;base=LAW&amp;n=468900" TargetMode = "External"/>
	<Relationship Id="rId470" Type="http://schemas.openxmlformats.org/officeDocument/2006/relationships/hyperlink" Target="https://login.consultant.ru/link/?req=doc&amp;base=RLAW049&amp;n=170803&amp;dst=100016" TargetMode = "External"/>
	<Relationship Id="rId471" Type="http://schemas.openxmlformats.org/officeDocument/2006/relationships/hyperlink" Target="https://login.consultant.ru/link/?req=doc&amp;base=RLAW049&amp;n=89957&amp;dst=100013" TargetMode = "External"/>
	<Relationship Id="rId472" Type="http://schemas.openxmlformats.org/officeDocument/2006/relationships/hyperlink" Target="https://login.consultant.ru/link/?req=doc&amp;base=RLAW049&amp;n=133925&amp;dst=100090" TargetMode = "External"/>
	<Relationship Id="rId473" Type="http://schemas.openxmlformats.org/officeDocument/2006/relationships/hyperlink" Target="https://login.consultant.ru/link/?req=doc&amp;base=RLAW049&amp;n=81678&amp;dst=100022" TargetMode = "External"/>
	<Relationship Id="rId474" Type="http://schemas.openxmlformats.org/officeDocument/2006/relationships/hyperlink" Target="https://login.consultant.ru/link/?req=doc&amp;base=RLAW049&amp;n=155924&amp;dst=100012" TargetMode = "External"/>
	<Relationship Id="rId475" Type="http://schemas.openxmlformats.org/officeDocument/2006/relationships/hyperlink" Target="https://login.consultant.ru/link/?req=doc&amp;base=RLAW049&amp;n=110593&amp;dst=100011" TargetMode = "External"/>
	<Relationship Id="rId476" Type="http://schemas.openxmlformats.org/officeDocument/2006/relationships/hyperlink" Target="https://login.consultant.ru/link/?req=doc&amp;base=LAW&amp;n=475331&amp;dst=18832" TargetMode = "External"/>
	<Relationship Id="rId477" Type="http://schemas.openxmlformats.org/officeDocument/2006/relationships/hyperlink" Target="https://login.consultant.ru/link/?req=doc&amp;base=RLAW049&amp;n=155924&amp;dst=100013" TargetMode = "External"/>
	<Relationship Id="rId478" Type="http://schemas.openxmlformats.org/officeDocument/2006/relationships/hyperlink" Target="https://login.consultant.ru/link/?req=doc&amp;base=RLAW049&amp;n=155924&amp;dst=100014" TargetMode = "External"/>
	<Relationship Id="rId479" Type="http://schemas.openxmlformats.org/officeDocument/2006/relationships/hyperlink" Target="https://login.consultant.ru/link/?req=doc&amp;base=RLAW049&amp;n=163153&amp;dst=100039" TargetMode = "External"/>
	<Relationship Id="rId480" Type="http://schemas.openxmlformats.org/officeDocument/2006/relationships/hyperlink" Target="https://login.consultant.ru/link/?req=doc&amp;base=RLAW049&amp;n=61616&amp;dst=100059" TargetMode = "External"/>
	<Relationship Id="rId481" Type="http://schemas.openxmlformats.org/officeDocument/2006/relationships/hyperlink" Target="https://login.consultant.ru/link/?req=doc&amp;base=LAW&amp;n=472841&amp;dst=1123" TargetMode = "External"/>
	<Relationship Id="rId482" Type="http://schemas.openxmlformats.org/officeDocument/2006/relationships/hyperlink" Target="https://login.consultant.ru/link/?req=doc&amp;base=RLAW049&amp;n=163153&amp;dst=100041" TargetMode = "External"/>
	<Relationship Id="rId483" Type="http://schemas.openxmlformats.org/officeDocument/2006/relationships/hyperlink" Target="https://login.consultant.ru/link/?req=doc&amp;base=LAW&amp;n=472841&amp;dst=100657" TargetMode = "External"/>
	<Relationship Id="rId484" Type="http://schemas.openxmlformats.org/officeDocument/2006/relationships/hyperlink" Target="https://login.consultant.ru/link/?req=doc&amp;base=RLAW049&amp;n=163153&amp;dst=100042" TargetMode = "External"/>
	<Relationship Id="rId485" Type="http://schemas.openxmlformats.org/officeDocument/2006/relationships/hyperlink" Target="https://login.consultant.ru/link/?req=doc&amp;base=RLAW049&amp;n=133925&amp;dst=100092" TargetMode = "External"/>
	<Relationship Id="rId486" Type="http://schemas.openxmlformats.org/officeDocument/2006/relationships/hyperlink" Target="https://login.consultant.ru/link/?req=doc&amp;base=RLAW049&amp;n=3535" TargetMode = "External"/>
	<Relationship Id="rId487" Type="http://schemas.openxmlformats.org/officeDocument/2006/relationships/hyperlink" Target="https://login.consultant.ru/link/?req=doc&amp;base=RLAW049&amp;n=4053" TargetMode = "External"/>
	<Relationship Id="rId488" Type="http://schemas.openxmlformats.org/officeDocument/2006/relationships/hyperlink" Target="https://login.consultant.ru/link/?req=doc&amp;base=RLAW049&amp;n=7960" TargetMode = "External"/>
	<Relationship Id="rId489" Type="http://schemas.openxmlformats.org/officeDocument/2006/relationships/hyperlink" Target="https://login.consultant.ru/link/?req=doc&amp;base=RLAW049&amp;n=7956" TargetMode = "External"/>
	<Relationship Id="rId490" Type="http://schemas.openxmlformats.org/officeDocument/2006/relationships/hyperlink" Target="https://login.consultant.ru/link/?req=doc&amp;base=RLAW049&amp;n=9705" TargetMode = "External"/>
	<Relationship Id="rId491" Type="http://schemas.openxmlformats.org/officeDocument/2006/relationships/hyperlink" Target="https://login.consultant.ru/link/?req=doc&amp;base=RLAW049&amp;n=6108" TargetMode = "External"/>
	<Relationship Id="rId492" Type="http://schemas.openxmlformats.org/officeDocument/2006/relationships/hyperlink" Target="https://login.consultant.ru/link/?req=doc&amp;base=RLAW049&amp;n=11604" TargetMode = "External"/>
	<Relationship Id="rId493" Type="http://schemas.openxmlformats.org/officeDocument/2006/relationships/hyperlink" Target="https://login.consultant.ru/link/?req=doc&amp;base=RLAW049&amp;n=13893" TargetMode = "External"/>
	<Relationship Id="rId494" Type="http://schemas.openxmlformats.org/officeDocument/2006/relationships/hyperlink" Target="https://login.consultant.ru/link/?req=doc&amp;base=RLAW049&amp;n=12982" TargetMode = "External"/>
	<Relationship Id="rId495" Type="http://schemas.openxmlformats.org/officeDocument/2006/relationships/hyperlink" Target="https://login.consultant.ru/link/?req=doc&amp;base=RLAW049&amp;n=3131" TargetMode = "External"/>
	<Relationship Id="rId496" Type="http://schemas.openxmlformats.org/officeDocument/2006/relationships/hyperlink" Target="https://login.consultant.ru/link/?req=doc&amp;base=RLAW049&amp;n=5933" TargetMode = "External"/>
	<Relationship Id="rId497" Type="http://schemas.openxmlformats.org/officeDocument/2006/relationships/hyperlink" Target="https://login.consultant.ru/link/?req=doc&amp;base=RLAW049&amp;n=7783" TargetMode = "External"/>
	<Relationship Id="rId498" Type="http://schemas.openxmlformats.org/officeDocument/2006/relationships/hyperlink" Target="https://login.consultant.ru/link/?req=doc&amp;base=RLAW049&amp;n=10266" TargetMode = "External"/>
	<Relationship Id="rId499" Type="http://schemas.openxmlformats.org/officeDocument/2006/relationships/hyperlink" Target="https://login.consultant.ru/link/?req=doc&amp;base=RLAW049&amp;n=11955" TargetMode = "External"/>
	<Relationship Id="rId500" Type="http://schemas.openxmlformats.org/officeDocument/2006/relationships/hyperlink" Target="https://login.consultant.ru/link/?req=doc&amp;base=RLAW049&amp;n=11529" TargetMode = "External"/>
	<Relationship Id="rId501" Type="http://schemas.openxmlformats.org/officeDocument/2006/relationships/hyperlink" Target="https://login.consultant.ru/link/?req=doc&amp;base=RLAW049&amp;n=13671" TargetMode = "External"/>
	<Relationship Id="rId502" Type="http://schemas.openxmlformats.org/officeDocument/2006/relationships/hyperlink" Target="https://login.consultant.ru/link/?req=doc&amp;base=RLAW049&amp;n=11956" TargetMode = "External"/>
	<Relationship Id="rId503" Type="http://schemas.openxmlformats.org/officeDocument/2006/relationships/hyperlink" Target="https://login.consultant.ru/link/?req=doc&amp;base=RLAW049&amp;n=13276" TargetMode = "External"/>
	<Relationship Id="rId504" Type="http://schemas.openxmlformats.org/officeDocument/2006/relationships/hyperlink" Target="https://login.consultant.ru/link/?req=doc&amp;base=RLAW049&amp;n=94746&amp;dst=100045" TargetMode = "External"/>
	<Relationship Id="rId505" Type="http://schemas.openxmlformats.org/officeDocument/2006/relationships/hyperlink" Target="https://login.consultant.ru/link/?req=doc&amp;base=RLAW049&amp;n=42246&amp;dst=100036" TargetMode = "External"/>
	<Relationship Id="rId506" Type="http://schemas.openxmlformats.org/officeDocument/2006/relationships/hyperlink" Target="https://login.consultant.ru/link/?req=doc&amp;base=RLAW049&amp;n=167550&amp;dst=100026" TargetMode = "External"/>
	<Relationship Id="rId507" Type="http://schemas.openxmlformats.org/officeDocument/2006/relationships/header" Target="header2.xml"/>
	<Relationship Id="rId508" Type="http://schemas.openxmlformats.org/officeDocument/2006/relationships/footer" Target="footer2.xml"/>
	<Relationship Id="rId509" Type="http://schemas.openxmlformats.org/officeDocument/2006/relationships/hyperlink" Target="https://login.consultant.ru/link/?req=doc&amp;base=LAW&amp;n=454208" TargetMode = "External"/>
	<Relationship Id="rId510" Type="http://schemas.openxmlformats.org/officeDocument/2006/relationships/hyperlink" Target="https://login.consultant.ru/link/?req=doc&amp;base=RLAW049&amp;n=167550&amp;dst=10002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Новосибирской области от 16.10.2003 N 142-ОЗ
(ред. от 12.03.2024)
"О налогах и особенностях налогообложения отдельных категорий налогоплательщиков в Новосибирской области"
(принят постановлением Новосибирского областного Совета депутатов от 02.10.2003 N 142-ОСД)</dc:title>
  <dcterms:created xsi:type="dcterms:W3CDTF">2024-06-11T15:27:30Z</dcterms:created>
</cp:coreProperties>
</file>