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40" w:rsidRPr="00E30E40" w:rsidRDefault="00E30E40" w:rsidP="00E30E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Inter" w:eastAsia="Times New Roman" w:hAnsi="Inter" w:cs="Times New Roman"/>
          <w:color w:val="212529"/>
          <w:kern w:val="36"/>
          <w:sz w:val="48"/>
          <w:szCs w:val="48"/>
          <w:lang w:eastAsia="ru-RU"/>
        </w:rPr>
      </w:pPr>
      <w:r w:rsidRPr="00E30E40">
        <w:rPr>
          <w:rFonts w:ascii="Inter" w:eastAsia="Times New Roman" w:hAnsi="Inter" w:cs="Times New Roman"/>
          <w:color w:val="212529"/>
          <w:kern w:val="36"/>
          <w:sz w:val="48"/>
          <w:szCs w:val="48"/>
          <w:lang w:eastAsia="ru-RU"/>
        </w:rPr>
        <w:t>Исчерпывающий перечень сведений, </w:t>
      </w:r>
      <w:r w:rsidRPr="00E30E40">
        <w:rPr>
          <w:rFonts w:ascii="Inter" w:eastAsia="Times New Roman" w:hAnsi="Inter" w:cs="Times New Roman"/>
          <w:color w:val="212529"/>
          <w:kern w:val="36"/>
          <w:sz w:val="48"/>
          <w:szCs w:val="48"/>
          <w:shd w:val="clear" w:color="auto" w:fill="FFFFFF"/>
          <w:lang w:eastAsia="ru-RU"/>
        </w:rPr>
        <w:t>которые могут </w:t>
      </w:r>
      <w:r w:rsidRPr="00E30E40">
        <w:rPr>
          <w:rFonts w:ascii="Inter" w:eastAsia="Times New Roman" w:hAnsi="Inter" w:cs="Times New Roman"/>
          <w:i/>
          <w:iCs/>
          <w:color w:val="212529"/>
          <w:kern w:val="36"/>
          <w:sz w:val="48"/>
          <w:szCs w:val="48"/>
          <w:lang w:eastAsia="ru-RU"/>
        </w:rPr>
        <w:t>запрашиваться</w:t>
      </w:r>
      <w:r w:rsidRPr="00E30E40">
        <w:rPr>
          <w:rFonts w:ascii="Inter" w:eastAsia="Times New Roman" w:hAnsi="Inter" w:cs="Times New Roman"/>
          <w:color w:val="212529"/>
          <w:kern w:val="36"/>
          <w:sz w:val="48"/>
          <w:szCs w:val="48"/>
          <w:lang w:eastAsia="ru-RU"/>
        </w:rPr>
        <w:t> </w:t>
      </w:r>
      <w:r w:rsidRPr="00E30E40">
        <w:rPr>
          <w:rFonts w:ascii="Inter" w:eastAsia="Times New Roman" w:hAnsi="Inter" w:cs="Times New Roman"/>
          <w:i/>
          <w:iCs/>
          <w:color w:val="212529"/>
          <w:kern w:val="36"/>
          <w:sz w:val="48"/>
          <w:szCs w:val="48"/>
          <w:lang w:eastAsia="ru-RU"/>
        </w:rPr>
        <w:t>контрольным</w:t>
      </w:r>
      <w:r w:rsidRPr="00E30E40">
        <w:rPr>
          <w:rFonts w:ascii="Inter" w:eastAsia="Times New Roman" w:hAnsi="Inter" w:cs="Times New Roman"/>
          <w:color w:val="212529"/>
          <w:kern w:val="36"/>
          <w:sz w:val="48"/>
          <w:szCs w:val="48"/>
          <w:lang w:eastAsia="ru-RU"/>
        </w:rPr>
        <w:t> (надзорным) </w:t>
      </w:r>
      <w:r w:rsidRPr="00E30E40">
        <w:rPr>
          <w:rFonts w:ascii="Inter" w:eastAsia="Times New Roman" w:hAnsi="Inter" w:cs="Times New Roman"/>
          <w:i/>
          <w:iCs/>
          <w:color w:val="212529"/>
          <w:kern w:val="36"/>
          <w:sz w:val="48"/>
          <w:szCs w:val="48"/>
          <w:lang w:eastAsia="ru-RU"/>
        </w:rPr>
        <w:t>органом</w:t>
      </w:r>
      <w:r w:rsidRPr="00E30E40">
        <w:rPr>
          <w:rFonts w:ascii="Inter" w:eastAsia="Times New Roman" w:hAnsi="Inter" w:cs="Times New Roman"/>
          <w:color w:val="212529"/>
          <w:kern w:val="36"/>
          <w:sz w:val="48"/>
          <w:szCs w:val="48"/>
          <w:lang w:eastAsia="ru-RU"/>
        </w:rPr>
        <w:t> у</w:t>
      </w:r>
      <w:r w:rsidRPr="00E30E40">
        <w:rPr>
          <w:rFonts w:ascii="Inter" w:eastAsia="Times New Roman" w:hAnsi="Inter" w:cs="Times New Roman"/>
          <w:color w:val="212529"/>
          <w:kern w:val="36"/>
          <w:sz w:val="48"/>
          <w:szCs w:val="48"/>
          <w:shd w:val="clear" w:color="auto" w:fill="FFFFFF"/>
          <w:lang w:eastAsia="ru-RU"/>
        </w:rPr>
        <w:t> </w:t>
      </w:r>
      <w:r w:rsidR="0065034E">
        <w:rPr>
          <w:rFonts w:eastAsia="Times New Roman" w:cs="Times New Roman"/>
          <w:color w:val="212529"/>
          <w:kern w:val="36"/>
          <w:sz w:val="48"/>
          <w:szCs w:val="48"/>
          <w:shd w:val="clear" w:color="auto" w:fill="FFFFFF"/>
          <w:lang w:eastAsia="ru-RU"/>
        </w:rPr>
        <w:t xml:space="preserve">                  </w:t>
      </w:r>
      <w:bookmarkStart w:id="0" w:name="_GoBack"/>
      <w:bookmarkEnd w:id="0"/>
      <w:r w:rsidRPr="00E30E40">
        <w:rPr>
          <w:rFonts w:ascii="Inter" w:eastAsia="Times New Roman" w:hAnsi="Inter" w:cs="Times New Roman"/>
          <w:color w:val="212529"/>
          <w:kern w:val="36"/>
          <w:sz w:val="48"/>
          <w:szCs w:val="48"/>
          <w:shd w:val="clear" w:color="auto" w:fill="FFFFFF"/>
          <w:lang w:eastAsia="ru-RU"/>
        </w:rPr>
        <w:t>контролируемого лица при осуществлении муниципального контроля</w:t>
      </w:r>
    </w:p>
    <w:p w:rsidR="00E30E40" w:rsidRPr="00E30E40" w:rsidRDefault="00E30E40" w:rsidP="00E30E40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E30E40" w:rsidRPr="00E30E40" w:rsidRDefault="00E30E40" w:rsidP="008C7375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Администрация </w:t>
      </w:r>
      <w:r w:rsidR="008C7375">
        <w:rPr>
          <w:rFonts w:eastAsia="Times New Roman" w:cs="Times New Roman"/>
          <w:color w:val="212529"/>
          <w:sz w:val="24"/>
          <w:szCs w:val="24"/>
          <w:lang w:eastAsia="ru-RU"/>
        </w:rPr>
        <w:t xml:space="preserve">Улыбинского </w:t>
      </w: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сельсовета </w:t>
      </w:r>
      <w:r w:rsidR="008C7375">
        <w:rPr>
          <w:rFonts w:eastAsia="Times New Roman" w:cs="Times New Roman"/>
          <w:color w:val="212529"/>
          <w:sz w:val="24"/>
          <w:szCs w:val="24"/>
          <w:lang w:eastAsia="ru-RU"/>
        </w:rPr>
        <w:t>Искитимског</w:t>
      </w: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 района Новосибирской области 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8C7375" w:rsidRDefault="00E30E40" w:rsidP="008C737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 </w:t>
      </w:r>
    </w:p>
    <w:p w:rsidR="00E30E40" w:rsidRPr="00E30E40" w:rsidRDefault="00E30E40" w:rsidP="008C7375">
      <w:pPr>
        <w:shd w:val="clear" w:color="auto" w:fill="FFFFFF"/>
        <w:spacing w:after="0" w:line="240" w:lineRule="auto"/>
        <w:jc w:val="both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E30E40" w:rsidRPr="008C7375" w:rsidRDefault="00E30E40" w:rsidP="008C7375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</w:pPr>
      <w:r w:rsidRPr="008C7375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Исчерпывающий перечень сведений, которые могут запрашиваться контрольным органом у контролируемого лица в рамках </w:t>
      </w:r>
      <w:proofErr w:type="gramStart"/>
      <w:r w:rsidRPr="008C7375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осуществления  муниципального</w:t>
      </w:r>
      <w:proofErr w:type="gramEnd"/>
      <w:r w:rsidRPr="008C7375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жилищного контроля</w:t>
      </w:r>
    </w:p>
    <w:p w:rsidR="008C7375" w:rsidRPr="008C7375" w:rsidRDefault="008C7375" w:rsidP="008C7375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212529"/>
          <w:sz w:val="24"/>
          <w:szCs w:val="24"/>
          <w:lang w:eastAsia="ru-RU"/>
        </w:rPr>
      </w:pPr>
    </w:p>
    <w:tbl>
      <w:tblPr>
        <w:tblW w:w="14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3159"/>
      </w:tblGrid>
      <w:tr w:rsidR="00E30E40" w:rsidRPr="00E30E40" w:rsidTr="00E30E40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1.</w:t>
            </w:r>
          </w:p>
        </w:tc>
        <w:tc>
          <w:tcPr>
            <w:tcW w:w="8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2.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Учредительные документы проверяемого юридического лица.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3.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4.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Доверенность, выданная лицу для участия  в контрольно-надзорном мероприятии.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5.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Договор служебного, социального найма жилого помещения.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6.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Технический план  объекта капитального строительства.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lastRenderedPageBreak/>
              <w:t>7.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 и информация, подтверждающие выполнение ранее выданного предписания.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8.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 по результатам осмотра жилого дома.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9.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Решение общего собрания собственников помещений многоквартирного дома о выборе способа управления.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10.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Платежные документы, информация о размере платы за жилое помещение муниципального жилищного фонда.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11.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Перечень (состав) общего имущества многоквартирного дома.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12.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Техническая документация на многоквартирный дом.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13.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периоду.</w:t>
            </w:r>
          </w:p>
        </w:tc>
      </w:tr>
      <w:tr w:rsidR="00E30E40" w:rsidRPr="00E30E40" w:rsidTr="00E30E40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14.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Договора, заключенные со специализированной организацией.</w:t>
            </w:r>
          </w:p>
        </w:tc>
      </w:tr>
    </w:tbl>
    <w:p w:rsidR="008C7375" w:rsidRDefault="008C7375" w:rsidP="00E30E4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212529"/>
          <w:sz w:val="24"/>
          <w:szCs w:val="24"/>
          <w:lang w:eastAsia="ru-RU"/>
        </w:rPr>
      </w:pPr>
    </w:p>
    <w:p w:rsidR="00E30E40" w:rsidRPr="00E30E40" w:rsidRDefault="00E30E40" w:rsidP="00E30E40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8C7375" w:rsidRPr="008C7375" w:rsidRDefault="00E30E40" w:rsidP="008C737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b/>
          <w:bCs/>
          <w:color w:val="212529"/>
          <w:sz w:val="24"/>
          <w:szCs w:val="24"/>
          <w:bdr w:val="none" w:sz="0" w:space="0" w:color="auto" w:frame="1"/>
          <w:shd w:val="clear" w:color="auto" w:fill="FFFFFF"/>
          <w:lang w:eastAsia="ru-RU"/>
        </w:rPr>
        <w:t>1.2. Исчерпывающий перечень сведений, которые могут запрашиваться контрольным органом у контролируемого лица в рамках осуществления муниципального контроля в сфере благоустройства</w:t>
      </w:r>
    </w:p>
    <w:p w:rsidR="00E30E40" w:rsidRPr="00E30E40" w:rsidRDefault="00E30E40" w:rsidP="00E30E40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tbl>
      <w:tblPr>
        <w:tblW w:w="14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2518"/>
      </w:tblGrid>
      <w:tr w:rsidR="00E30E40" w:rsidRPr="00E30E40" w:rsidTr="00E30E40"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1.</w:t>
            </w:r>
          </w:p>
        </w:tc>
        <w:tc>
          <w:tcPr>
            <w:tcW w:w="8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right="150"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E30E40" w:rsidRPr="00E30E40" w:rsidTr="00E30E40"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2.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right="150"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Учредительные документы проверяемого юридического лица</w:t>
            </w:r>
          </w:p>
        </w:tc>
      </w:tr>
      <w:tr w:rsidR="00E30E40" w:rsidRPr="00E30E40" w:rsidTr="00E30E40"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3.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right="150"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E30E40" w:rsidRPr="00E30E40" w:rsidTr="00E30E40"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4.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right="150"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Доверенность, выданная лицу для участия  в контрольно-надзорном мероприятии</w:t>
            </w:r>
          </w:p>
        </w:tc>
      </w:tr>
      <w:tr w:rsidR="00E30E40" w:rsidRPr="00E30E40" w:rsidTr="00E30E40"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5.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      </w:r>
          </w:p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</w:tr>
      <w:tr w:rsidR="00E30E40" w:rsidRPr="00E30E40" w:rsidTr="00E30E40">
        <w:trPr>
          <w:trHeight w:val="105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6.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устанавливающие права владения на здание, помещение, подлежащие муниципальному контролю</w:t>
            </w:r>
          </w:p>
        </w:tc>
      </w:tr>
      <w:tr w:rsidR="00E30E40" w:rsidRPr="00E30E40" w:rsidTr="00E30E40">
        <w:trPr>
          <w:trHeight w:val="150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7.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разрешающие осуществление хозяйственной деятельности на земельном участке</w:t>
            </w:r>
          </w:p>
        </w:tc>
      </w:tr>
      <w:tr w:rsidR="00E30E40" w:rsidRPr="00E30E40" w:rsidTr="00E30E40">
        <w:trPr>
          <w:trHeight w:val="210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8.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 по сбору, вывозу, утилизации и размещению отходов, образующихся в процессе хозяйственной деятельности</w:t>
            </w:r>
          </w:p>
        </w:tc>
      </w:tr>
      <w:tr w:rsidR="00E30E40" w:rsidRPr="00E30E40" w:rsidTr="00E30E40">
        <w:trPr>
          <w:trHeight w:val="180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9.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textAlignment w:val="baseline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разрешающие проведение земляных работ, снос зеленых насаждений</w:t>
            </w:r>
          </w:p>
        </w:tc>
      </w:tr>
    </w:tbl>
    <w:p w:rsidR="00E30E40" w:rsidRPr="00E30E40" w:rsidRDefault="00E30E40" w:rsidP="00E30E40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E30E40" w:rsidRPr="00E30E40" w:rsidRDefault="00E30E40" w:rsidP="00E30E40">
      <w:pPr>
        <w:shd w:val="clear" w:color="auto" w:fill="FFFFFF"/>
        <w:spacing w:after="0" w:line="240" w:lineRule="auto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:rsidR="008C7375" w:rsidRDefault="008C7375" w:rsidP="00E30E40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</w:pPr>
    </w:p>
    <w:p w:rsidR="008C7375" w:rsidRDefault="008C7375" w:rsidP="008C7375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</w:pPr>
    </w:p>
    <w:p w:rsidR="008C7375" w:rsidRDefault="008C7375" w:rsidP="008C7375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</w:pPr>
    </w:p>
    <w:p w:rsidR="00E30E40" w:rsidRPr="00E30E40" w:rsidRDefault="00E30E40" w:rsidP="008C7375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30E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1.3. Исчерпывающий перечень сведений, которые могут запрашиваться</w:t>
      </w:r>
      <w:r w:rsidRPr="00E30E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br/>
        <w:t>контрольным (надзорным) органом у контролируемого лица в рамках</w:t>
      </w:r>
      <w:r w:rsidRPr="00E30E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br/>
        <w:t>осуществления муниципального контроля на автомобильном</w:t>
      </w:r>
      <w:r w:rsidRPr="00E30E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br/>
        <w:t>транспорте и в дорожном хозяйстве </w:t>
      </w:r>
      <w:r w:rsidRPr="00E30E40">
        <w:rPr>
          <w:rFonts w:ascii="Inter" w:eastAsia="Times New Roman" w:hAnsi="Inter" w:cs="Times New Roman"/>
          <w:b/>
          <w:bCs/>
          <w:color w:val="212529"/>
          <w:spacing w:val="2"/>
          <w:sz w:val="24"/>
          <w:szCs w:val="24"/>
          <w:lang w:eastAsia="ru-RU"/>
        </w:rPr>
        <w:t>в </w:t>
      </w:r>
      <w:r w:rsidRPr="00E30E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границах населенных пунктов </w:t>
      </w:r>
      <w:r w:rsidR="008C7375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Улыбинского</w:t>
      </w:r>
      <w:r w:rsidRPr="00E30E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сельсовета </w:t>
      </w:r>
      <w:r w:rsidR="008C7375">
        <w:rPr>
          <w:rFonts w:eastAsia="Times New Roman" w:cs="Times New Roman"/>
          <w:b/>
          <w:bCs/>
          <w:color w:val="212529"/>
          <w:sz w:val="24"/>
          <w:szCs w:val="24"/>
          <w:lang w:eastAsia="ru-RU"/>
        </w:rPr>
        <w:t>Искитимского</w:t>
      </w:r>
      <w:r w:rsidRPr="00E30E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 района Новосибирской области</w:t>
      </w:r>
      <w:r w:rsidRPr="00E30E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tbl>
      <w:tblPr>
        <w:tblW w:w="14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2089"/>
      </w:tblGrid>
      <w:tr w:rsidR="00E30E40" w:rsidRPr="00E30E40" w:rsidTr="00E30E40"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right="150"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E30E40" w:rsidRPr="00E30E40" w:rsidTr="00E30E40"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right="150"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Учредительные документы проверяемого юридического лица</w:t>
            </w:r>
          </w:p>
        </w:tc>
      </w:tr>
      <w:tr w:rsidR="00E30E40" w:rsidRPr="00E30E40" w:rsidTr="00E30E40"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right="150"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E30E40" w:rsidRPr="00E30E40" w:rsidTr="00E30E40"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E40" w:rsidRPr="00E30E40" w:rsidRDefault="00E30E40" w:rsidP="00E30E40">
            <w:pPr>
              <w:spacing w:after="0" w:line="240" w:lineRule="auto"/>
              <w:ind w:right="150"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Доверенность, выданная лицу для участия  в контрольно-надзорном мероприятии</w:t>
            </w:r>
          </w:p>
        </w:tc>
      </w:tr>
      <w:tr w:rsidR="00E30E40" w:rsidRPr="00E30E40" w:rsidTr="00E30E40">
        <w:trPr>
          <w:trHeight w:val="13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5.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наличие помещений и оборудования, позволяющих осуществлять стоянку, техническое обслуживание и ремонт транспортных средств, или заключение договоров со специализированными организациями о стоянке, техническом обслуживании и ремонте транспортных средств с подтверждающими документами, а также документы, подтверждающие соблюдение порядка организации и проведения технического обслуживания транспортных средств в сроки, предусмотренные документацией заводов-изготовителей этих транспортных средств.</w:t>
            </w:r>
          </w:p>
        </w:tc>
      </w:tr>
      <w:tr w:rsidR="00E30E40" w:rsidRPr="00E30E40" w:rsidTr="00E30E40">
        <w:trPr>
          <w:trHeight w:val="12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6.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наличие в организации должностного лица, ответственного за обеспечение безопасности дорожного движения (трудовой договор, приказ о назначении на должность, должностная инструкция), имеющего соответствующую подготовку, а также документы, подтверждающие прохождение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транспорта.</w:t>
            </w:r>
          </w:p>
        </w:tc>
      </w:tr>
      <w:tr w:rsidR="00E30E40" w:rsidRPr="00E30E40" w:rsidTr="00E30E40">
        <w:trPr>
          <w:trHeight w:val="13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7.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наличие транспортных средств, принадлежащих на праве собственности или на ином законном основании, а также список транспортных средств (с указанием марки, года выпуска, собственника).</w:t>
            </w:r>
          </w:p>
        </w:tc>
      </w:tr>
      <w:tr w:rsidR="00E30E40" w:rsidRPr="00E30E40" w:rsidTr="00E30E40">
        <w:trPr>
          <w:trHeight w:val="15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8.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 xml:space="preserve">Документы, подтверждающие соблюдение порядка организации и проведения </w:t>
            </w:r>
            <w:proofErr w:type="spellStart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предрейсового</w:t>
            </w:r>
            <w:proofErr w:type="spellEnd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 </w:t>
            </w:r>
            <w:proofErr w:type="spellStart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послерейсового</w:t>
            </w:r>
            <w:proofErr w:type="spellEnd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 xml:space="preserve"> медицинского осмотра водителей (наличие лицензии на проведение, договора со сторонней организацией, путевые листы, журнал учета проведения </w:t>
            </w:r>
            <w:proofErr w:type="spellStart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предрейсового</w:t>
            </w:r>
            <w:proofErr w:type="spellEnd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 </w:t>
            </w:r>
            <w:proofErr w:type="spellStart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послерейсового</w:t>
            </w:r>
            <w:proofErr w:type="spellEnd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 xml:space="preserve"> медицинского осмотра водителей).</w:t>
            </w:r>
          </w:p>
        </w:tc>
      </w:tr>
      <w:tr w:rsidR="00E30E40" w:rsidRPr="00E30E40" w:rsidTr="00E30E40">
        <w:trPr>
          <w:trHeight w:val="16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9.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соблюдение порядка организации и проведения технического обслуживания транспортных средств в сроки, предусмотренные документацией заводов-изготовителей этих транспортных средств (акты выполненных работ и пр. документы).</w:t>
            </w:r>
          </w:p>
        </w:tc>
      </w:tr>
      <w:tr w:rsidR="00E30E40" w:rsidRPr="00E30E40" w:rsidTr="00E30E40">
        <w:trPr>
          <w:trHeight w:val="12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10.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организацию проведения стажировки водителей (приказы (распоряжения), листы стажировки и т.д.), приказ о назначении водителей-наставников.</w:t>
            </w:r>
          </w:p>
        </w:tc>
      </w:tr>
      <w:tr w:rsidR="00E30E40" w:rsidRPr="00E30E40" w:rsidTr="00E30E40">
        <w:trPr>
          <w:trHeight w:val="15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11.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Путевые листы и журнал регистрации путевых листов.</w:t>
            </w:r>
          </w:p>
        </w:tc>
      </w:tr>
      <w:tr w:rsidR="00E30E40" w:rsidRPr="00E30E40" w:rsidTr="00E30E40">
        <w:trPr>
          <w:trHeight w:val="15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lastRenderedPageBreak/>
              <w:t>12.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установку и обслуживание спутниковой аппаратуры ГЛОНАСС или ГЛОНАСС/GPS на транспортные средства категории М2, М3 и N, (оснащение проверяется с использованием КИАСК-ТС-РВ, в ходе проведения мониторинга безопасности и запросу документов подтверждающих установку аппаратуры спутниковой навигации).</w:t>
            </w:r>
          </w:p>
        </w:tc>
      </w:tr>
      <w:tr w:rsidR="00E30E40" w:rsidRPr="00E30E40" w:rsidTr="00E30E40">
        <w:trPr>
          <w:trHeight w:val="13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13.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 xml:space="preserve">Документы, подтверждающие установку </w:t>
            </w:r>
            <w:proofErr w:type="spellStart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тахографов</w:t>
            </w:r>
            <w:proofErr w:type="spellEnd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 xml:space="preserve"> на транспортные средства категории М2, М3 и N, а также документы, подтверждающие соблюдение правил использования </w:t>
            </w:r>
            <w:proofErr w:type="spellStart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тахографов</w:t>
            </w:r>
            <w:proofErr w:type="spellEnd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</w:p>
        </w:tc>
      </w:tr>
      <w:tr w:rsidR="00E30E40" w:rsidRPr="00E30E40" w:rsidTr="00E30E40">
        <w:trPr>
          <w:trHeight w:val="13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14.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организацию передачи сведений о пассажирах и персонале (об экипаже) транспортных средств в автоматизированную централизованную базу персональных данных о пассажирах и персонале (об экипаже) транспортных средств.</w:t>
            </w:r>
          </w:p>
        </w:tc>
      </w:tr>
      <w:tr w:rsidR="00E30E40" w:rsidRPr="00E30E40" w:rsidTr="00E30E40">
        <w:trPr>
          <w:trHeight w:val="10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15.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водителями; в случае осуществления организованной перевозки групп детей - документы, подтверждающие стаж.</w:t>
            </w:r>
          </w:p>
        </w:tc>
      </w:tr>
      <w:tr w:rsidR="00E30E40" w:rsidRPr="00E30E40" w:rsidTr="00E30E40">
        <w:trPr>
          <w:trHeight w:val="15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16.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 xml:space="preserve">Документы, учитывающие соблюдение режима труда и отдыха водительского состава (табели учета рабочего времени, графики сменности, данные снятые с </w:t>
            </w:r>
            <w:proofErr w:type="spellStart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тахографа</w:t>
            </w:r>
            <w:proofErr w:type="spellEnd"/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 т.д.).</w:t>
            </w:r>
          </w:p>
        </w:tc>
      </w:tr>
      <w:tr w:rsidR="00E30E40" w:rsidRPr="00E30E40" w:rsidTr="00E30E40">
        <w:trPr>
          <w:trHeight w:val="18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17.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организацию и проведение инструктажей водителей автобусов.</w:t>
            </w:r>
          </w:p>
        </w:tc>
      </w:tr>
      <w:tr w:rsidR="00E30E40" w:rsidRPr="00E30E40" w:rsidTr="00E30E40">
        <w:trPr>
          <w:trHeight w:val="12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18.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Документы, подтверждающие планирование мероприятий по предупреждению дорожно-транспортных происшествий, анализ дорожно-транспортных происшествий с участием автобусов и правонарушений, совершенных водителями при управлении ими.</w:t>
            </w:r>
          </w:p>
        </w:tc>
      </w:tr>
      <w:tr w:rsidR="00E30E40" w:rsidRPr="00E30E40" w:rsidTr="00E30E40"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19.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водителями.</w:t>
            </w:r>
          </w:p>
        </w:tc>
      </w:tr>
      <w:tr w:rsidR="00E30E40" w:rsidRPr="00E30E40" w:rsidTr="00E30E40">
        <w:trPr>
          <w:trHeight w:val="109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20.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bdr w:val="none" w:sz="0" w:space="0" w:color="auto" w:frame="1"/>
                <w:lang w:eastAsia="ru-RU"/>
              </w:rPr>
              <w:t xml:space="preserve"> Технические условия размещения объектов дорожного сервиса в границах полос отвода и (или) придорожных полос автомобильных дорог общего </w:t>
            </w:r>
            <w:proofErr w:type="gramStart"/>
            <w:r w:rsidRPr="00E30E40">
              <w:rPr>
                <w:rFonts w:ascii="Arial" w:eastAsia="Times New Roman" w:hAnsi="Arial" w:cs="Arial"/>
                <w:color w:val="212529"/>
                <w:bdr w:val="none" w:sz="0" w:space="0" w:color="auto" w:frame="1"/>
                <w:lang w:eastAsia="ru-RU"/>
              </w:rPr>
              <w:t>пользования .</w:t>
            </w:r>
            <w:proofErr w:type="gramEnd"/>
          </w:p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</w:tr>
      <w:tr w:rsidR="00E30E40" w:rsidRPr="00E30E40" w:rsidTr="00E30E40">
        <w:trPr>
          <w:trHeight w:val="22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21.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bdr w:val="none" w:sz="0" w:space="0" w:color="auto" w:frame="1"/>
                <w:lang w:eastAsia="ru-RU"/>
              </w:rPr>
              <w:t>Контракт по содержанию автомобильных дорог общего пользования регионального и межмуниципального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  <w:tr w:rsidR="00E30E40" w:rsidRPr="00E30E40" w:rsidTr="00E30E40">
        <w:trPr>
          <w:trHeight w:val="24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22.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E40" w:rsidRPr="00E30E40" w:rsidRDefault="00E30E40" w:rsidP="00E30E40">
            <w:pPr>
              <w:spacing w:after="0" w:line="240" w:lineRule="auto"/>
              <w:ind w:firstLine="459"/>
              <w:jc w:val="both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E30E40">
              <w:rPr>
                <w:rFonts w:ascii="Arial" w:eastAsia="Times New Roman" w:hAnsi="Arial" w:cs="Arial"/>
                <w:color w:val="212529"/>
                <w:bdr w:val="none" w:sz="0" w:space="0" w:color="auto" w:frame="1"/>
                <w:lang w:eastAsia="ru-RU"/>
              </w:rPr>
              <w:t>Договор на осуществлению работ по капитальному ремонту, ремонту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</w:tbl>
    <w:p w:rsidR="00F35B84" w:rsidRDefault="00F35B84"/>
    <w:sectPr w:rsidR="00F35B84" w:rsidSect="00E30E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te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E6D0A"/>
    <w:multiLevelType w:val="multilevel"/>
    <w:tmpl w:val="72E66F24"/>
    <w:lvl w:ilvl="0">
      <w:start w:val="1"/>
      <w:numFmt w:val="decimal"/>
      <w:lvlText w:val="%1."/>
      <w:lvlJc w:val="left"/>
      <w:pPr>
        <w:ind w:left="480" w:hanging="480"/>
      </w:pPr>
      <w:rPr>
        <w:rFonts w:ascii="Inter" w:hAnsi="Inter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Inter" w:hAnsi="Inter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Inter" w:hAnsi="Inte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Inter" w:hAnsi="Inte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ter" w:hAnsi="Inte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ter" w:hAnsi="Inte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ter" w:hAnsi="Inte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ter" w:hAnsi="Inte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ter" w:hAnsi="Inte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40"/>
    <w:rsid w:val="0065034E"/>
    <w:rsid w:val="006A5114"/>
    <w:rsid w:val="008C7375"/>
    <w:rsid w:val="00E30E40"/>
    <w:rsid w:val="00F3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9765"/>
  <w15:chartTrackingRefBased/>
  <w15:docId w15:val="{DAE58A77-5291-473E-A447-72758841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E30E40"/>
    <w:rPr>
      <w:i/>
      <w:iCs/>
    </w:rPr>
  </w:style>
  <w:style w:type="paragraph" w:styleId="a4">
    <w:name w:val="Normal (Web)"/>
    <w:basedOn w:val="a"/>
    <w:uiPriority w:val="99"/>
    <w:semiHidden/>
    <w:unhideWhenUsed/>
    <w:rsid w:val="00E3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0E40"/>
    <w:rPr>
      <w:b/>
      <w:bCs/>
    </w:rPr>
  </w:style>
  <w:style w:type="paragraph" w:styleId="a6">
    <w:name w:val="List Paragraph"/>
    <w:basedOn w:val="a"/>
    <w:uiPriority w:val="34"/>
    <w:qFormat/>
    <w:rsid w:val="008C7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2025-05-27T05:38:00Z</dcterms:created>
  <dcterms:modified xsi:type="dcterms:W3CDTF">2025-05-27T05:42:00Z</dcterms:modified>
</cp:coreProperties>
</file>